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5" w:name="Xe1c416e0115ce210a31f1e5dea546c20a10ba5a"/>
    <w:p>
      <w:pPr>
        <w:pStyle w:val="1"/>
      </w:pPr>
      <w:r>
        <w:t xml:space="preserve">OpenGauss Strategic Assessment for Hermes-Agent Integration</w:t>
      </w:r>
    </w:p>
    <w:bookmarkStart w:id="26" w:name="Xf054f468d98b9b8c0a10fb70e456351c5e8463f"/>
    <w:p>
      <w:pPr>
        <w:pStyle w:val="2"/>
      </w:pPr>
      <w:r>
        <w:t xml:space="preserve">1. Executive Summary: OpenGauss as a Database Platform</w:t>
      </w:r>
    </w:p>
    <w:bookmarkStart w:id="22" w:name="core-definition-and-origin"/>
    <w:p>
      <w:pPr>
        <w:pStyle w:val="3"/>
      </w:pPr>
      <w:r>
        <w:t xml:space="preserve">1.1 Core Definition and Origin</w:t>
      </w:r>
    </w:p>
    <w:p>
      <w:pPr>
        <w:pStyle w:val="FirstParagraph"/>
      </w:pPr>
      <w:r>
        <w:t xml:space="preserve">OpenGauss is an</w:t>
      </w:r>
      <w:r>
        <w:t xml:space="preserve"> </w:t>
      </w:r>
      <w:r>
        <w:rPr>
          <w:b/>
          <w:bCs/>
        </w:rPr>
        <w:t xml:space="preserve">enterprise-grade open-source relational database</w:t>
      </w:r>
      <w:r>
        <w:t xml:space="preserve"> </w:t>
      </w:r>
      <w:r>
        <w:t xml:space="preserve">that originated as a strategic fork from PostgreSQL 9.2, subsequently transformed through substantial architectural reengineering by Huawei’s database research and development organization. The project was officially open-sourced in June 2020 under the</w:t>
      </w:r>
      <w:r>
        <w:t xml:space="preserve"> </w:t>
      </w:r>
      <w:r>
        <w:rPr>
          <w:b/>
          <w:bCs/>
        </w:rPr>
        <w:t xml:space="preserve">Mulan Permissive Software License v2 (MulanPSL v2)</w:t>
      </w:r>
      <w:r>
        <w:t xml:space="preserve">, a Chinese-developed open-source license that provides explicit patent grants and permits commercial use, modification, and proprietary redistribution without the copyleft requirements characteristic of GPL-style licenses</w:t>
      </w:r>
      <w:r>
        <w:t xml:space="preserve"> </w:t>
      </w:r>
      <w:hyperlink r:id="rId20">
        <w:r>
          <w:rPr>
            <w:rStyle w:val="af"/>
          </w:rPr>
          <w:t xml:space="preserve">(opengauss.org)</w:t>
        </w:r>
      </w:hyperlink>
      <w:r>
        <w:t xml:space="preserve"> </w:t>
      </w:r>
      <w:r>
        <w:t xml:space="preserve">. This licensing framework offers organizations exceptional flexibility for commercial adoption, enabling deep integration into products and services without intellectual property contamination concerns.</w:t>
      </w:r>
    </w:p>
    <w:p>
      <w:pPr>
        <w:pStyle w:val="a0"/>
      </w:pPr>
      <w:r>
        <w:t xml:space="preserve">The technical evolution of OpenGauss reflects a deliberate strategy to bridge the capability gap between traditional open-source databases and proprietary enterprise systems, while maintaining the cost transparency and community innovation velocity that open-source development enables. Huawei’s development investment in the database spans over two decades, with OpenGauss representing the open-source evolution of technology that powers substantial internal deployments and commercial GaussDB offerings. The kernel comprises approximately</w:t>
      </w:r>
      <w:r>
        <w:t xml:space="preserve"> </w:t>
      </w:r>
      <w:r>
        <w:rPr>
          <w:b/>
          <w:bCs/>
        </w:rPr>
        <w:t xml:space="preserve">1.2 million lines of code</w:t>
      </w:r>
      <w:r>
        <w:t xml:space="preserve">, of which</w:t>
      </w:r>
      <w:r>
        <w:t xml:space="preserve"> </w:t>
      </w:r>
      <w:r>
        <w:rPr>
          <w:b/>
          <w:bCs/>
        </w:rPr>
        <w:t xml:space="preserve">700,000 lines represent self-developed modifications and additions</w:t>
      </w:r>
      <w:r>
        <w:t xml:space="preserve">—indicating that roughly</w:t>
      </w:r>
      <w:r>
        <w:t xml:space="preserve"> </w:t>
      </w:r>
      <w:r>
        <w:rPr>
          <w:b/>
          <w:bCs/>
        </w:rPr>
        <w:t xml:space="preserve">74% of the kernel has been fundamentally reengineered</w:t>
      </w:r>
      <w:r>
        <w:t xml:space="preserve"> </w:t>
      </w:r>
      <w:r>
        <w:t xml:space="preserve">rather than inherited from PostgreSQL</w:t>
      </w:r>
      <w:r>
        <w:t xml:space="preserve"> </w:t>
      </w:r>
      <w:hyperlink r:id="rId20">
        <w:r>
          <w:rPr>
            <w:rStyle w:val="af"/>
          </w:rPr>
          <w:t xml:space="preserve">(opengauss.org)</w:t>
        </w:r>
      </w:hyperlink>
      <w:r>
        <w:t xml:space="preserve"> </w:t>
      </w:r>
      <w:r>
        <w:t xml:space="preserve">. This transformation encompasses the query optimizer, storage engines, concurrency control mechanisms, and security framework, resulting in a database that maintains PostgreSQL interface compatibility while delivering enterprise capabilities that substantially exceed its upstream foundation.</w:t>
      </w:r>
    </w:p>
    <w:p>
      <w:pPr>
        <w:pStyle w:val="a0"/>
      </w:pPr>
      <w:r>
        <w:t xml:space="preserve">The community governance structure has matured to include multiple commercial distributions—</w:t>
      </w:r>
      <w:r>
        <w:rPr>
          <w:b/>
          <w:bCs/>
        </w:rPr>
        <w:t xml:space="preserve">MogDB</w:t>
      </w:r>
      <w:r>
        <w:t xml:space="preserve"> </w:t>
      </w:r>
      <w:r>
        <w:t xml:space="preserve">(Enmotech),</w:t>
      </w:r>
      <w:r>
        <w:t xml:space="preserve"> </w:t>
      </w:r>
      <w:r>
        <w:rPr>
          <w:b/>
          <w:bCs/>
        </w:rPr>
        <w:t xml:space="preserve">Vastbase</w:t>
      </w:r>
      <w:r>
        <w:t xml:space="preserve">,</w:t>
      </w:r>
      <w:r>
        <w:t xml:space="preserve"> </w:t>
      </w:r>
      <w:r>
        <w:rPr>
          <w:b/>
          <w:bCs/>
        </w:rPr>
        <w:t xml:space="preserve">GaussDB</w:t>
      </w:r>
      <w:r>
        <w:t xml:space="preserve"> </w:t>
      </w:r>
      <w:r>
        <w:t xml:space="preserve">(Huawei Cloud), and others—creating an ecosystem that reduces single-vendor dependency while ensuring continued technology investment. The</w:t>
      </w:r>
      <w:r>
        <w:t xml:space="preserve"> </w:t>
      </w:r>
      <w:r>
        <w:rPr>
          <w:b/>
          <w:bCs/>
        </w:rPr>
        <w:t xml:space="preserve">4,000+ annual developer contribution rate</w:t>
      </w:r>
      <w:r>
        <w:t xml:space="preserve"> </w:t>
      </w:r>
      <w:r>
        <w:t xml:space="preserve">and active university partnership program indicate healthy community growth that supplements Huawei’s enterprise engineering discipline</w:t>
      </w:r>
      <w:r>
        <w:t xml:space="preserve"> </w:t>
      </w:r>
      <w:hyperlink r:id="rId21">
        <w:r>
          <w:rPr>
            <w:rStyle w:val="af"/>
          </w:rPr>
          <w:t xml:space="preserve">(博客园)</w:t>
        </w:r>
      </w:hyperlink>
      <w:r>
        <w:t xml:space="preserve"> </w:t>
      </w:r>
      <w:r>
        <w:t xml:space="preserve">. This hybrid development model combines the innovation diversity of community contribution with the quality assurance and long-term roadmap stability that enterprise deployments require.</w:t>
      </w:r>
    </w:p>
    <w:bookmarkEnd w:id="22"/>
    <w:bookmarkStart w:id="25" w:name="strategic-fit-for-hermes-agent"/>
    <w:p>
      <w:pPr>
        <w:pStyle w:val="3"/>
      </w:pPr>
      <w:r>
        <w:t xml:space="preserve">1.2 Strategic Fit for Hermes-Agent</w:t>
      </w:r>
    </w:p>
    <w:p>
      <w:pPr>
        <w:pStyle w:val="FirstParagraph"/>
      </w:pPr>
      <w:r>
        <w:t xml:space="preserve">The integration of OpenGauss with Hermes-agent creates</w:t>
      </w:r>
      <w:r>
        <w:t xml:space="preserve"> </w:t>
      </w:r>
      <w:r>
        <w:rPr>
          <w:b/>
          <w:bCs/>
        </w:rPr>
        <w:t xml:space="preserve">synergistic value through architectural alignment</w:t>
      </w:r>
      <w:r>
        <w:t xml:space="preserve"> </w:t>
      </w:r>
      <w:r>
        <w:t xml:space="preserve">between two AI-native technologies. Hermes-agent’s operational effectiveness depends on rapid, reliable data persistence for decision-making, learning, and action coordination—requirements that OpenGauss’s autonomous optimization and high-performance execution directly address. The agent’s</w:t>
      </w:r>
      <w:r>
        <w:t xml:space="preserve"> </w:t>
      </w:r>
      <w:r>
        <w:rPr>
          <w:b/>
          <w:bCs/>
        </w:rPr>
        <w:t xml:space="preserve">ReAct (Reason → Act → Observe) reasoning loop</w:t>
      </w:r>
      <w:r>
        <w:t xml:space="preserve">, persistent memory across sessions, and multi-channel gateway architecture generate database workload patterns that benefit substantially from OpenGauss’s specific optimizations</w:t>
      </w:r>
      <w:r>
        <w:t xml:space="preserve"> </w:t>
      </w:r>
      <w:hyperlink r:id="rId23">
        <w:r>
          <w:rPr>
            <w:rStyle w:val="af"/>
          </w:rPr>
          <w:t xml:space="preserve">(ubos.tech)</w:t>
        </w:r>
      </w:hyperlink>
      <w:r>
        <w:t xml:space="preserve"> </w:t>
      </w:r>
      <w:r>
        <w:t xml:space="preserve">.</w:t>
      </w:r>
    </w:p>
    <w:p>
      <w:pPr>
        <w:pStyle w:val="a0"/>
      </w:pPr>
      <w:r>
        <w:t xml:space="preserve">The</w:t>
      </w:r>
      <w:r>
        <w:t xml:space="preserve"> </w:t>
      </w:r>
      <w:r>
        <w:rPr>
          <w:b/>
          <w:bCs/>
        </w:rPr>
        <w:t xml:space="preserve">DBMind AI engine</w:t>
      </w:r>
      <w:r>
        <w:t xml:space="preserve"> </w:t>
      </w:r>
      <w:r>
        <w:t xml:space="preserve">embedded in OpenGauss provides autonomous database tuning that reduces operational friction for agent deployments. Traditional databases require continuous manual optimization as workloads evolve, creating administrative burden that can degrade agent responsiveness. DBMind’s</w:t>
      </w:r>
      <w:r>
        <w:t xml:space="preserve"> </w:t>
      </w:r>
      <w:r>
        <w:rPr>
          <w:b/>
          <w:bCs/>
        </w:rPr>
        <w:t xml:space="preserve">automatic parameter optimization, slow SQL diagnosis with root cause analysis, and predictive performance trend analysis</w:t>
      </w:r>
      <w:r>
        <w:t xml:space="preserve"> </w:t>
      </w:r>
      <w:r>
        <w:t xml:space="preserve">enable the database to adapt dynamically to changing access patterns without human intervention</w:t>
      </w:r>
      <w:r>
        <w:t xml:space="preserve"> </w:t>
      </w:r>
      <w:hyperlink r:id="rId20">
        <w:r>
          <w:rPr>
            <w:rStyle w:val="af"/>
          </w:rPr>
          <w:t xml:space="preserve">(opengauss.org)</w:t>
        </w:r>
      </w:hyperlink>
      <w:r>
        <w:t xml:space="preserve"> </w:t>
      </w:r>
      <w:r>
        <w:t xml:space="preserve">. This characteristic is particularly valuable for agent systems where query profiles emerge from learning-driven behavioral evolution rather than predetermined operational schedules.</w:t>
      </w:r>
    </w:p>
    <w:p>
      <w:pPr>
        <w:pStyle w:val="a0"/>
      </w:pPr>
      <w:r>
        <w:t xml:space="preserve">Performance predictability under concurrent load addresses a critical requirement for Hermes-agent’s multi-channel operation. The database’s</w:t>
      </w:r>
      <w:r>
        <w:t xml:space="preserve"> </w:t>
      </w:r>
      <w:r>
        <w:rPr>
          <w:b/>
          <w:bCs/>
        </w:rPr>
        <w:t xml:space="preserve">NUMA-aware architecture and multi-core optimization ensure linear performance scaling</w:t>
      </w:r>
      <w:r>
        <w:t xml:space="preserve"> </w:t>
      </w:r>
      <w:r>
        <w:t xml:space="preserve">with hardware resources, avoiding the bottlenecks that constrain traditional databases under high connection counts</w:t>
      </w:r>
      <w:r>
        <w:t xml:space="preserve"> </w:t>
      </w:r>
      <w:hyperlink r:id="rId20">
        <w:r>
          <w:rPr>
            <w:rStyle w:val="af"/>
          </w:rPr>
          <w:t xml:space="preserve">(opengauss.org)</w:t>
        </w:r>
      </w:hyperlink>
      <w:r>
        <w:t xml:space="preserve"> </w:t>
      </w:r>
      <w:r>
        <w:t xml:space="preserve">. This scalability enables agent deployments to handle</w:t>
      </w:r>
      <w:r>
        <w:t xml:space="preserve"> </w:t>
      </w:r>
      <w:r>
        <w:rPr>
          <w:b/>
          <w:bCs/>
        </w:rPr>
        <w:t xml:space="preserve">burst workloads</w:t>
      </w:r>
      <w:r>
        <w:t xml:space="preserve">—common when agents respond to environmental triggers across multiple communication channels—without performance degradation or complex connection pooling infrastructure.</w:t>
      </w:r>
    </w:p>
    <w:p>
      <w:pPr>
        <w:pStyle w:val="a0"/>
      </w:pPr>
      <w:r>
        <w:t xml:space="preserve">Security integration strengthens Hermes-agent’s operational posture for sensitive data handling. The agent’s</w:t>
      </w:r>
      <w:r>
        <w:t xml:space="preserve"> </w:t>
      </w:r>
      <w:r>
        <w:rPr>
          <w:b/>
          <w:bCs/>
        </w:rPr>
        <w:t xml:space="preserve">dangerous command approval system</w:t>
      </w:r>
      <w:r>
        <w:t xml:space="preserve">, which triggers on patterns like</w:t>
      </w:r>
      <w:r>
        <w:t xml:space="preserve"> </w:t>
      </w:r>
      <w:r>
        <w:rPr>
          <w:rStyle w:val="VerbatimChar"/>
        </w:rPr>
        <w:t xml:space="preserve">rm -r</w:t>
      </w:r>
      <w:r>
        <w:t xml:space="preserve">,</w:t>
      </w:r>
      <w:r>
        <w:t xml:space="preserve"> </w:t>
      </w:r>
      <w:r>
        <w:rPr>
          <w:rStyle w:val="VerbatimChar"/>
        </w:rPr>
        <w:t xml:space="preserve">DROP TABLE</w:t>
      </w:r>
      <w:r>
        <w:t xml:space="preserve">, or</w:t>
      </w:r>
      <w:r>
        <w:t xml:space="preserve"> </w:t>
      </w:r>
      <w:r>
        <w:rPr>
          <w:rStyle w:val="VerbatimChar"/>
        </w:rPr>
        <w:t xml:space="preserve">DELETE FROM</w:t>
      </w:r>
      <w:r>
        <w:t xml:space="preserve"> </w:t>
      </w:r>
      <w:r>
        <w:t xml:space="preserve">without WHERE clauses, requires underlying database security that prevents unauthorized modification even if agent decision-making is compromised</w:t>
      </w:r>
      <w:r>
        <w:t xml:space="preserve"> </w:t>
      </w:r>
      <w:hyperlink r:id="rId23">
        <w:r>
          <w:rPr>
            <w:rStyle w:val="af"/>
          </w:rPr>
          <w:t xml:space="preserve">(ubos.tech)</w:t>
        </w:r>
      </w:hyperlink>
      <w:r>
        <w:t xml:space="preserve"> </w:t>
      </w:r>
      <w:r>
        <w:t xml:space="preserve">. OpenGauss’s</w:t>
      </w:r>
      <w:r>
        <w:t xml:space="preserve"> </w:t>
      </w:r>
      <w:r>
        <w:rPr>
          <w:b/>
          <w:bCs/>
        </w:rPr>
        <w:t xml:space="preserve">transparent data encryption, dynamic data masking, unified audit framework, and separation of duties access control</w:t>
      </w:r>
      <w:r>
        <w:t xml:space="preserve"> </w:t>
      </w:r>
      <w:r>
        <w:t xml:space="preserve">provide defense-in-depth that complements application-level security mechanisms</w:t>
      </w:r>
      <w:r>
        <w:t xml:space="preserve"> </w:t>
      </w:r>
      <w:hyperlink r:id="rId24">
        <w:r>
          <w:rPr>
            <w:rStyle w:val="af"/>
          </w:rPr>
          <w:t xml:space="preserve">(opengauss.org)</w:t>
        </w:r>
      </w:hyperlink>
      <w:r>
        <w:t xml:space="preserve"> </w:t>
      </w:r>
      <w:r>
        <w:t xml:space="preserve">.</w:t>
      </w:r>
    </w:p>
    <w:bookmarkEnd w:id="25"/>
    <w:bookmarkEnd w:id="26"/>
    <w:bookmarkStart w:id="57" w:name="technical-capabilities-deep-dive"/>
    <w:p>
      <w:pPr>
        <w:pStyle w:val="2"/>
      </w:pPr>
      <w:r>
        <w:t xml:space="preserve">2. Technical Capabilities Deep Dive</w:t>
      </w:r>
    </w:p>
    <w:bookmarkStart w:id="36" w:name="performance-architecture"/>
    <w:p>
      <w:pPr>
        <w:pStyle w:val="3"/>
      </w:pPr>
      <w:r>
        <w:t xml:space="preserve">2.1 Performance Architecture</w:t>
      </w:r>
    </w:p>
    <w:bookmarkStart w:id="29" w:name="multi-core-optimization"/>
    <w:p>
      <w:pPr>
        <w:pStyle w:val="4"/>
      </w:pPr>
      <w:r>
        <w:t xml:space="preserve">2.1.1 Multi-Core Optimization</w:t>
      </w:r>
    </w:p>
    <w:p>
      <w:pPr>
        <w:pStyle w:val="FirstParagraph"/>
      </w:pPr>
      <w:r>
        <w:t xml:space="preserve">OpenGauss achieves exceptional performance through</w:t>
      </w:r>
      <w:r>
        <w:t xml:space="preserve"> </w:t>
      </w:r>
      <w:r>
        <w:rPr>
          <w:b/>
          <w:bCs/>
        </w:rPr>
        <w:t xml:space="preserve">hardware-conscious architecture design</w:t>
      </w:r>
      <w:r>
        <w:t xml:space="preserve"> </w:t>
      </w:r>
      <w:r>
        <w:t xml:space="preserve">that explicitly optimizes for modern multi-core processor topologies. The</w:t>
      </w:r>
      <w:r>
        <w:t xml:space="preserve"> </w:t>
      </w:r>
      <w:r>
        <w:rPr>
          <w:b/>
          <w:bCs/>
        </w:rPr>
        <w:t xml:space="preserve">NUMA-aware implementation</w:t>
      </w:r>
      <w:r>
        <w:t xml:space="preserve"> </w:t>
      </w:r>
      <w:r>
        <w:t xml:space="preserve">recognizes that memory access latency varies dramatically depending on whether data resides in local memory attached directly to a processor socket or remote memory accessed through interconnect fabrics. By implementing</w:t>
      </w:r>
      <w:r>
        <w:t xml:space="preserve"> </w:t>
      </w:r>
      <w:r>
        <w:rPr>
          <w:b/>
          <w:bCs/>
        </w:rPr>
        <w:t xml:space="preserve">NUMA-aware data structures as key kernel structures</w:t>
      </w:r>
      <w:r>
        <w:t xml:space="preserve"> </w:t>
      </w:r>
      <w:r>
        <w:t xml:space="preserve">and binding threads to service cores to prevent performance-degrading migration, OpenGauss minimizes cross-socket memory traffic that would otherwise constrain scalability</w:t>
      </w:r>
      <w:r>
        <w:t xml:space="preserve"> </w:t>
      </w:r>
      <w:hyperlink r:id="rId20">
        <w:r>
          <w:rPr>
            <w:rStyle w:val="af"/>
          </w:rPr>
          <w:t xml:space="preserve">(opengauss.org)</w:t>
        </w:r>
      </w:hyperlink>
      <w:r>
        <w:t xml:space="preserve"> </w:t>
      </w:r>
      <w:r>
        <w:t xml:space="preserve">.</w:t>
      </w:r>
    </w:p>
    <w:tbl>
      <w:tblPr>
        <w:tblStyle w:val="Table"/>
        <w:tblW w:type="pct" w:w="5000"/>
        <w:jc w:val="left"/>
        <w:tblLayout w:type="fixed"/>
        <w:tblLook w:firstRow="1" w:lastRow="0" w:firstColumn="0" w:lastColumn="0" w:noHBand="0" w:noVBand="0" w:val="0020"/>
      </w:tblPr>
      <w:tblGrid>
        <w:gridCol w:w="1257"/>
        <w:gridCol w:w="1634"/>
        <w:gridCol w:w="2262"/>
        <w:gridCol w:w="2765"/>
      </w:tblGrid>
      <w:tr>
        <w:trPr>
          <w:tblHeader w:val="on"/>
        </w:trPr>
        <w:tc>
          <w:tcPr/>
          <w:p>
            <w:pPr>
              <w:pStyle w:val="Compact"/>
              <w:jc w:val="left"/>
            </w:pPr>
            <w:r>
              <w:t xml:space="preserve">Platform</w:t>
            </w:r>
          </w:p>
        </w:tc>
        <w:tc>
          <w:tcPr/>
          <w:p>
            <w:pPr>
              <w:pStyle w:val="Compact"/>
              <w:jc w:val="left"/>
            </w:pPr>
            <w:r>
              <w:t xml:space="preserve">Configuration</w:t>
            </w:r>
          </w:p>
        </w:tc>
        <w:tc>
          <w:tcPr/>
          <w:p>
            <w:pPr>
              <w:pStyle w:val="Compact"/>
              <w:jc w:val="left"/>
            </w:pPr>
            <w:r>
              <w:t xml:space="preserve">TPC-C Throughput</w:t>
            </w:r>
          </w:p>
        </w:tc>
        <w:tc>
          <w:tcPr/>
          <w:p>
            <w:pPr>
              <w:pStyle w:val="Compact"/>
              <w:jc w:val="left"/>
            </w:pPr>
            <w:r>
              <w:t xml:space="preserve">Relative Performance</w:t>
            </w:r>
          </w:p>
        </w:tc>
      </w:tr>
      <w:tr>
        <w:tc>
          <w:tcPr/>
          <w:p>
            <w:pPr>
              <w:pStyle w:val="Compact"/>
              <w:jc w:val="left"/>
            </w:pPr>
            <w:r>
              <w:rPr>
                <w:b/>
                <w:bCs/>
              </w:rPr>
              <w:t xml:space="preserve">Kunpeng ARM</w:t>
            </w:r>
          </w:p>
        </w:tc>
        <w:tc>
          <w:tcPr/>
          <w:p>
            <w:pPr>
              <w:pStyle w:val="Compact"/>
              <w:jc w:val="left"/>
            </w:pPr>
            <w:r>
              <w:t xml:space="preserve">2-socket, 128-core</w:t>
            </w:r>
          </w:p>
        </w:tc>
        <w:tc>
          <w:tcPr/>
          <w:p>
            <w:pPr>
              <w:pStyle w:val="Compact"/>
              <w:jc w:val="left"/>
            </w:pPr>
            <w:r>
              <w:rPr>
                <w:b/>
                <w:bCs/>
              </w:rPr>
              <w:t xml:space="preserve">1,500,000 tpmC</w:t>
            </w:r>
          </w:p>
        </w:tc>
        <w:tc>
          <w:tcPr/>
          <w:p>
            <w:pPr>
              <w:pStyle w:val="Compact"/>
              <w:jc w:val="left"/>
            </w:pPr>
            <w:r>
              <w:t xml:space="preserve">Baseline (optimized)</w:t>
            </w:r>
          </w:p>
        </w:tc>
      </w:tr>
      <w:tr>
        <w:tc>
          <w:tcPr/>
          <w:p>
            <w:pPr>
              <w:pStyle w:val="Compact"/>
              <w:jc w:val="left"/>
            </w:pPr>
            <w:r>
              <w:rPr>
                <w:b/>
                <w:bCs/>
              </w:rPr>
              <w:t xml:space="preserve">x86</w:t>
            </w:r>
          </w:p>
        </w:tc>
        <w:tc>
          <w:tcPr/>
          <w:p>
            <w:pPr>
              <w:pStyle w:val="Compact"/>
              <w:jc w:val="left"/>
            </w:pPr>
            <w:r>
              <w:t xml:space="preserve">2-socket, 6148</w:t>
            </w:r>
          </w:p>
        </w:tc>
        <w:tc>
          <w:tcPr/>
          <w:p>
            <w:pPr>
              <w:pStyle w:val="Compact"/>
              <w:jc w:val="left"/>
            </w:pPr>
            <w:r>
              <w:rPr>
                <w:b/>
                <w:bCs/>
              </w:rPr>
              <w:t xml:space="preserve">&gt;1,000,000 tpmC</w:t>
            </w:r>
          </w:p>
        </w:tc>
        <w:tc>
          <w:tcPr/>
          <w:p>
            <w:pPr>
              <w:pStyle w:val="Compact"/>
              <w:jc w:val="left"/>
            </w:pPr>
            <w:r>
              <w:t xml:space="preserve">~67% of Kunpeng</w:t>
            </w:r>
          </w:p>
        </w:tc>
      </w:tr>
      <w:tr>
        <w:tc>
          <w:tcPr/>
          <w:p>
            <w:pPr>
              <w:pStyle w:val="Compact"/>
              <w:jc w:val="left"/>
            </w:pPr>
            <w:r>
              <w:t xml:space="preserve">Oracle</w:t>
            </w:r>
          </w:p>
        </w:tc>
        <w:tc>
          <w:tcPr/>
          <w:p>
            <w:pPr>
              <w:pStyle w:val="Compact"/>
              <w:jc w:val="left"/>
            </w:pPr>
            <w:r>
              <w:t xml:space="preserve">Comparable x86</w:t>
            </w:r>
          </w:p>
        </w:tc>
        <w:tc>
          <w:tcPr/>
          <w:p>
            <w:pPr>
              <w:pStyle w:val="Compact"/>
              <w:jc w:val="left"/>
            </w:pPr>
            <w:r>
              <w:t xml:space="preserve">&lt;1,000,000 tpmC</w:t>
            </w:r>
          </w:p>
        </w:tc>
        <w:tc>
          <w:tcPr/>
          <w:p>
            <w:pPr>
              <w:pStyle w:val="Compact"/>
              <w:jc w:val="left"/>
            </w:pPr>
            <w:r>
              <w:t xml:space="preserve">Lower than OpenGauss x86</w:t>
            </w:r>
          </w:p>
        </w:tc>
      </w:tr>
      <w:tr>
        <w:tc>
          <w:tcPr/>
          <w:p>
            <w:pPr>
              <w:pStyle w:val="Compact"/>
              <w:jc w:val="left"/>
            </w:pPr>
            <w:r>
              <w:t xml:space="preserve">PostgreSQL</w:t>
            </w:r>
          </w:p>
        </w:tc>
        <w:tc>
          <w:tcPr/>
          <w:p>
            <w:pPr>
              <w:pStyle w:val="Compact"/>
              <w:jc w:val="left"/>
            </w:pPr>
            <w:r>
              <w:t xml:space="preserve">Comparable x86</w:t>
            </w:r>
          </w:p>
        </w:tc>
        <w:tc>
          <w:tcPr/>
          <w:p>
            <w:pPr>
              <w:pStyle w:val="Compact"/>
              <w:jc w:val="left"/>
            </w:pPr>
            <w:r>
              <w:t xml:space="preserve">&lt;700,000 tpmC</w:t>
            </w:r>
          </w:p>
        </w:tc>
        <w:tc>
          <w:tcPr/>
          <w:p>
            <w:pPr>
              <w:pStyle w:val="Compact"/>
              <w:jc w:val="left"/>
            </w:pPr>
            <w:r>
              <w:t xml:space="preserve">~47% of OpenGauss x86</w:t>
            </w:r>
          </w:p>
        </w:tc>
      </w:tr>
      <w:tr>
        <w:tc>
          <w:tcPr/>
          <w:p>
            <w:pPr>
              <w:pStyle w:val="Compact"/>
              <w:jc w:val="left"/>
            </w:pPr>
            <w:r>
              <w:t xml:space="preserve">MySQL 8.0</w:t>
            </w:r>
          </w:p>
        </w:tc>
        <w:tc>
          <w:tcPr/>
          <w:p>
            <w:pPr>
              <w:pStyle w:val="Compact"/>
              <w:jc w:val="left"/>
            </w:pPr>
            <w:r>
              <w:t xml:space="preserve">Comparable x86</w:t>
            </w:r>
          </w:p>
        </w:tc>
        <w:tc>
          <w:tcPr/>
          <w:p>
            <w:pPr>
              <w:pStyle w:val="Compact"/>
              <w:jc w:val="left"/>
            </w:pPr>
            <w:r>
              <w:rPr>
                <w:b/>
                <w:bCs/>
              </w:rPr>
              <w:t xml:space="preserve">650,000 tpmC</w:t>
            </w:r>
          </w:p>
        </w:tc>
        <w:tc>
          <w:tcPr/>
          <w:p>
            <w:pPr>
              <w:pStyle w:val="Compact"/>
              <w:jc w:val="left"/>
            </w:pPr>
            <w:r>
              <w:rPr>
                <w:b/>
                <w:bCs/>
              </w:rPr>
              <w:t xml:space="preserve">43% of OpenGauss x86</w:t>
            </w:r>
            <w:r>
              <w:t xml:space="preserve"> </w:t>
            </w:r>
            <w:hyperlink r:id="rId27">
              <w:r>
                <w:rPr>
                  <w:rStyle w:val="af"/>
                </w:rPr>
                <w:t xml:space="preserve">(hc-cdn.cn)</w:t>
              </w:r>
            </w:hyperlink>
          </w:p>
        </w:tc>
      </w:tr>
    </w:tbl>
    <w:p>
      <w:pPr>
        <w:pStyle w:val="a0"/>
      </w:pPr>
      <w:r>
        <w:t xml:space="preserve">The</w:t>
      </w:r>
      <w:r>
        <w:t xml:space="preserve"> </w:t>
      </w:r>
      <w:r>
        <w:rPr>
          <w:b/>
          <w:bCs/>
        </w:rPr>
        <w:t xml:space="preserve">2.3x performance advantage over MySQL</w:t>
      </w:r>
      <w:r>
        <w:t xml:space="preserve"> </w:t>
      </w:r>
      <w:r>
        <w:t xml:space="preserve">on equivalent hardware derives from architectural optimizations including</w:t>
      </w:r>
      <w:r>
        <w:t xml:space="preserve"> </w:t>
      </w:r>
      <w:r>
        <w:rPr>
          <w:b/>
          <w:bCs/>
        </w:rPr>
        <w:t xml:space="preserve">lock-free data structures</w:t>
      </w:r>
      <w:r>
        <w:t xml:space="preserve">,</w:t>
      </w:r>
      <w:r>
        <w:t xml:space="preserve"> </w:t>
      </w:r>
      <w:r>
        <w:rPr>
          <w:b/>
          <w:bCs/>
        </w:rPr>
        <w:t xml:space="preserve">CPU affinity algorithms achieving 95% utilization on 8-way servers</w:t>
      </w:r>
      <w:r>
        <w:t xml:space="preserve">, and</w:t>
      </w:r>
      <w:r>
        <w:t xml:space="preserve"> </w:t>
      </w:r>
      <w:r>
        <w:rPr>
          <w:b/>
          <w:bCs/>
        </w:rPr>
        <w:t xml:space="preserve">thread pool implementation eliminating context-switching overhead</w:t>
      </w:r>
      <w:r>
        <w:t xml:space="preserve"> </w:t>
      </w:r>
      <w:r>
        <w:t xml:space="preserve">of traditional thread-per-connection models</w:t>
      </w:r>
      <w:r>
        <w:t xml:space="preserve"> </w:t>
      </w:r>
      <w:hyperlink r:id="rId21">
        <w:r>
          <w:rPr>
            <w:rStyle w:val="af"/>
          </w:rPr>
          <w:t xml:space="preserve">(博客园)</w:t>
        </w:r>
      </w:hyperlink>
      <w:r>
        <w:t xml:space="preserve"> </w:t>
      </w:r>
      <w:r>
        <w:t xml:space="preserve">. The SQL bypass intelligent fast engine technology provides streamlined execution for simple OLTP queries, reducing per-query overhead for the high-frequency, low-complexity operations typical of agent state management</w:t>
      </w:r>
      <w:r>
        <w:t xml:space="preserve"> </w:t>
      </w:r>
      <w:hyperlink r:id="rId20">
        <w:r>
          <w:rPr>
            <w:rStyle w:val="af"/>
          </w:rPr>
          <w:t xml:space="preserve">(opengauss.org)</w:t>
        </w:r>
      </w:hyperlink>
      <w:r>
        <w:t xml:space="preserve"> </w:t>
      </w:r>
      <w:r>
        <w:t xml:space="preserve">.</w:t>
      </w:r>
    </w:p>
    <w:p>
      <w:pPr>
        <w:pStyle w:val="a0"/>
      </w:pPr>
      <w:r>
        <w:t xml:space="preserve">Hardware-specific optimizations extend to storage subsystem efficiency through features like</w:t>
      </w:r>
      <w:r>
        <w:t xml:space="preserve"> </w:t>
      </w:r>
      <w:r>
        <w:rPr>
          <w:rStyle w:val="VerbatimChar"/>
          <w:b/>
          <w:bCs/>
        </w:rPr>
        <w:t xml:space="preserve">enable_compress_spill</w:t>
      </w:r>
      <w:r>
        <w:t xml:space="preserve"> </w:t>
      </w:r>
      <w:r>
        <w:t xml:space="preserve">for query execution data compression and</w:t>
      </w:r>
      <w:r>
        <w:t xml:space="preserve"> </w:t>
      </w:r>
      <w:r>
        <w:rPr>
          <w:rStyle w:val="VerbatimChar"/>
          <w:b/>
          <w:bCs/>
        </w:rPr>
        <w:t xml:space="preserve">enable_fast_numeric</w:t>
      </w:r>
      <w:r>
        <w:t xml:space="preserve"> </w:t>
      </w:r>
      <w:r>
        <w:t xml:space="preserve">for optimized decimal arithmetic—capabilities that address specific performance bottlenecks in financial and scientific computing workloads</w:t>
      </w:r>
      <w:r>
        <w:t xml:space="preserve"> </w:t>
      </w:r>
      <w:hyperlink r:id="rId28">
        <w:r>
          <w:rPr>
            <w:rStyle w:val="af"/>
          </w:rPr>
          <w:t xml:space="preserve">(opengauss.org)</w:t>
        </w:r>
      </w:hyperlink>
      <w:r>
        <w:t xml:space="preserve"> </w:t>
      </w:r>
      <w:r>
        <w:t xml:space="preserve">.</w:t>
      </w:r>
    </w:p>
    <w:bookmarkEnd w:id="29"/>
    <w:bookmarkStart w:id="33" w:name="memory-optimized-tables-mot"/>
    <w:p>
      <w:pPr>
        <w:pStyle w:val="4"/>
      </w:pPr>
      <w:r>
        <w:t xml:space="preserve">2.1.2 Memory-Optimized Tables (MOT)</w:t>
      </w:r>
    </w:p>
    <w:p>
      <w:pPr>
        <w:pStyle w:val="FirstParagraph"/>
      </w:pPr>
      <w:r>
        <w:t xml:space="preserve">The</w:t>
      </w:r>
      <w:r>
        <w:t xml:space="preserve"> </w:t>
      </w:r>
      <w:r>
        <w:rPr>
          <w:b/>
          <w:bCs/>
        </w:rPr>
        <w:t xml:space="preserve">Memory-Optimized Tables (MOT) engine</w:t>
      </w:r>
      <w:r>
        <w:t xml:space="preserve"> </w:t>
      </w:r>
      <w:r>
        <w:t xml:space="preserve">represents OpenGauss’s high-performance execution path for latency-critical workloads, implementing</w:t>
      </w:r>
      <w:r>
        <w:t xml:space="preserve"> </w:t>
      </w:r>
      <w:r>
        <w:rPr>
          <w:b/>
          <w:bCs/>
        </w:rPr>
        <w:t xml:space="preserve">lock-free concurrent index structures</w:t>
      </w:r>
      <w:r>
        <w:t xml:space="preserve"> </w:t>
      </w:r>
      <w:r>
        <w:t xml:space="preserve">and</w:t>
      </w:r>
      <w:r>
        <w:t xml:space="preserve"> </w:t>
      </w:r>
      <w:r>
        <w:rPr>
          <w:b/>
          <w:bCs/>
        </w:rPr>
        <w:t xml:space="preserve">optimistic concurrency control</w:t>
      </w:r>
      <w:r>
        <w:t xml:space="preserve"> </w:t>
      </w:r>
      <w:r>
        <w:t xml:space="preserve">that eliminate traditional locking overhead. MOT achieves</w:t>
      </w:r>
      <w:r>
        <w:t xml:space="preserve"> </w:t>
      </w:r>
      <w:r>
        <w:rPr>
          <w:b/>
          <w:bCs/>
        </w:rPr>
        <w:t xml:space="preserve">3.5 million tpmC in standalone benchmarking</w:t>
      </w:r>
      <w:r>
        <w:t xml:space="preserve">—more than double the standard storage engine performance and competitive with specialized in-memory databases</w:t>
      </w:r>
      <w:r>
        <w:t xml:space="preserve"> </w:t>
      </w:r>
      <w:hyperlink r:id="rId30">
        <w:r>
          <w:rPr>
            <w:rStyle w:val="af"/>
          </w:rPr>
          <w:t xml:space="preserve">(sphere-ex.com)</w:t>
        </w:r>
      </w:hyperlink>
      <w:r>
        <w:t xml:space="preserve"> </w:t>
      </w:r>
      <w:r>
        <w:t xml:space="preserve">.</w:t>
      </w:r>
    </w:p>
    <w:tbl>
      <w:tblPr>
        <w:tblStyle w:val="Table"/>
        <w:tblW w:type="pct" w:w="5000"/>
        <w:jc w:val="left"/>
        <w:tblLayout w:type="fixed"/>
        <w:tblLook w:firstRow="1" w:lastRow="0" w:firstColumn="0" w:lastColumn="0" w:noHBand="0" w:noVBand="0" w:val="0020"/>
      </w:tblPr>
      <w:tblGrid>
        <w:gridCol w:w="1827"/>
        <w:gridCol w:w="1584"/>
        <w:gridCol w:w="2558"/>
        <w:gridCol w:w="1949"/>
      </w:tblGrid>
      <w:tr>
        <w:trPr>
          <w:tblHeader w:val="on"/>
        </w:trPr>
        <w:tc>
          <w:tcPr/>
          <w:p>
            <w:pPr>
              <w:pStyle w:val="Compact"/>
              <w:jc w:val="left"/>
            </w:pPr>
            <w:r>
              <w:t xml:space="preserve">Storage Engine</w:t>
            </w:r>
          </w:p>
        </w:tc>
        <w:tc>
          <w:tcPr/>
          <w:p>
            <w:pPr>
              <w:pStyle w:val="Compact"/>
              <w:jc w:val="left"/>
            </w:pPr>
            <w:r>
              <w:t xml:space="preserve">Optimized For</w:t>
            </w:r>
          </w:p>
        </w:tc>
        <w:tc>
          <w:tcPr/>
          <w:p>
            <w:pPr>
              <w:pStyle w:val="Compact"/>
              <w:jc w:val="left"/>
            </w:pPr>
            <w:r>
              <w:t xml:space="preserve">Key Characteristics</w:t>
            </w:r>
          </w:p>
        </w:tc>
        <w:tc>
          <w:tcPr/>
          <w:p>
            <w:pPr>
              <w:pStyle w:val="Compact"/>
              <w:jc w:val="left"/>
            </w:pPr>
            <w:r>
              <w:t xml:space="preserve">Typical Use Case</w:t>
            </w:r>
          </w:p>
        </w:tc>
      </w:tr>
      <w:tr>
        <w:tc>
          <w:tcPr/>
          <w:p>
            <w:pPr>
              <w:pStyle w:val="Compact"/>
              <w:jc w:val="left"/>
            </w:pPr>
            <w:r>
              <w:rPr>
                <w:b/>
                <w:bCs/>
              </w:rPr>
              <w:t xml:space="preserve">MOT</w:t>
            </w:r>
          </w:p>
        </w:tc>
        <w:tc>
          <w:tcPr/>
          <w:p>
            <w:pPr>
              <w:pStyle w:val="Compact"/>
              <w:jc w:val="left"/>
            </w:pPr>
            <w:r>
              <w:t xml:space="preserve">Ultra-low latency OLTP</w:t>
            </w:r>
          </w:p>
        </w:tc>
        <w:tc>
          <w:tcPr/>
          <w:p>
            <w:pPr>
              <w:pStyle w:val="Compact"/>
              <w:jc w:val="left"/>
            </w:pPr>
            <w:r>
              <w:t xml:space="preserve">Lock-free, optimistic concurrency, memory-resident</w:t>
            </w:r>
          </w:p>
        </w:tc>
        <w:tc>
          <w:tcPr/>
          <w:p>
            <w:pPr>
              <w:pStyle w:val="Compact"/>
              <w:jc w:val="left"/>
            </w:pPr>
            <w:r>
              <w:t xml:space="preserve">Real-time agent state, high-frequency transactions</w:t>
            </w:r>
          </w:p>
        </w:tc>
      </w:tr>
      <w:tr>
        <w:tc>
          <w:tcPr/>
          <w:p>
            <w:pPr>
              <w:pStyle w:val="Compact"/>
              <w:jc w:val="left"/>
            </w:pPr>
            <w:r>
              <w:rPr>
                <w:b/>
                <w:bCs/>
              </w:rPr>
              <w:t xml:space="preserve">USTORE</w:t>
            </w:r>
          </w:p>
        </w:tc>
        <w:tc>
          <w:tcPr/>
          <w:p>
            <w:pPr>
              <w:pStyle w:val="Compact"/>
              <w:jc w:val="left"/>
            </w:pPr>
            <w:r>
              <w:t xml:space="preserve">Update-heavy workloads</w:t>
            </w:r>
          </w:p>
        </w:tc>
        <w:tc>
          <w:tcPr/>
          <w:p>
            <w:pPr>
              <w:pStyle w:val="Compact"/>
              <w:jc w:val="left"/>
            </w:pPr>
            <w:r>
              <w:t xml:space="preserve">Optimized garbage collection, version management</w:t>
            </w:r>
          </w:p>
        </w:tc>
        <w:tc>
          <w:tcPr/>
          <w:p>
            <w:pPr>
              <w:pStyle w:val="Compact"/>
              <w:jc w:val="left"/>
            </w:pPr>
            <w:r>
              <w:t xml:space="preserve">Continuous learning data, mutable agent memory</w:t>
            </w:r>
          </w:p>
        </w:tc>
      </w:tr>
      <w:tr>
        <w:tc>
          <w:tcPr/>
          <w:p>
            <w:pPr>
              <w:pStyle w:val="Compact"/>
              <w:jc w:val="left"/>
            </w:pPr>
            <w:r>
              <w:rPr>
                <w:b/>
                <w:bCs/>
              </w:rPr>
              <w:t xml:space="preserve">Astore</w:t>
            </w:r>
          </w:p>
        </w:tc>
        <w:tc>
          <w:tcPr/>
          <w:p>
            <w:pPr>
              <w:pStyle w:val="Compact"/>
              <w:jc w:val="left"/>
            </w:pPr>
            <w:r>
              <w:t xml:space="preserve">General mixed workloads</w:t>
            </w:r>
          </w:p>
        </w:tc>
        <w:tc>
          <w:tcPr/>
          <w:p>
            <w:pPr>
              <w:pStyle w:val="Compact"/>
              <w:jc w:val="left"/>
            </w:pPr>
            <w:r>
              <w:t xml:space="preserve">Traditional heap storage, full ACID</w:t>
            </w:r>
          </w:p>
        </w:tc>
        <w:tc>
          <w:tcPr/>
          <w:p>
            <w:pPr>
              <w:pStyle w:val="Compact"/>
              <w:jc w:val="left"/>
            </w:pPr>
            <w:r>
              <w:t xml:space="preserve">Standard operational tables</w:t>
            </w:r>
          </w:p>
        </w:tc>
      </w:tr>
      <w:tr>
        <w:tc>
          <w:tcPr/>
          <w:p>
            <w:pPr>
              <w:pStyle w:val="Compact"/>
              <w:jc w:val="left"/>
            </w:pPr>
            <w:r>
              <w:rPr>
                <w:b/>
                <w:bCs/>
              </w:rPr>
              <w:t xml:space="preserve">Columnar</w:t>
            </w:r>
          </w:p>
        </w:tc>
        <w:tc>
          <w:tcPr/>
          <w:p>
            <w:pPr>
              <w:pStyle w:val="Compact"/>
              <w:jc w:val="left"/>
            </w:pPr>
            <w:r>
              <w:t xml:space="preserve">Analytical processing</w:t>
            </w:r>
          </w:p>
        </w:tc>
        <w:tc>
          <w:tcPr/>
          <w:p>
            <w:pPr>
              <w:pStyle w:val="Compact"/>
              <w:jc w:val="left"/>
            </w:pPr>
            <w:r>
              <w:t xml:space="preserve">Vectorized execution, compression</w:t>
            </w:r>
          </w:p>
        </w:tc>
        <w:tc>
          <w:tcPr/>
          <w:p>
            <w:pPr>
              <w:pStyle w:val="Compact"/>
              <w:jc w:val="left"/>
            </w:pPr>
            <w:r>
              <w:t xml:space="preserve">Historical analysis, reporting</w:t>
            </w:r>
            <w:r>
              <w:t xml:space="preserve"> </w:t>
            </w:r>
            <w:hyperlink r:id="rId20">
              <w:r>
                <w:rPr>
                  <w:rStyle w:val="af"/>
                </w:rPr>
                <w:t xml:space="preserve">(opengauss.org)</w:t>
              </w:r>
            </w:hyperlink>
          </w:p>
        </w:tc>
      </w:tr>
    </w:tbl>
    <w:p>
      <w:pPr>
        <w:pStyle w:val="a0"/>
      </w:pPr>
      <w:r>
        <w:t xml:space="preserve">The</w:t>
      </w:r>
      <w:r>
        <w:t xml:space="preserve"> </w:t>
      </w:r>
      <w:r>
        <w:rPr>
          <w:b/>
          <w:bCs/>
        </w:rPr>
        <w:t xml:space="preserve">hybrid row-column storage capability</w:t>
      </w:r>
      <w:r>
        <w:t xml:space="preserve"> </w:t>
      </w:r>
      <w:r>
        <w:t xml:space="preserve">within MOT enables</w:t>
      </w:r>
      <w:r>
        <w:t xml:space="preserve"> </w:t>
      </w:r>
      <w:r>
        <w:rPr>
          <w:b/>
          <w:bCs/>
        </w:rPr>
        <w:t xml:space="preserve">HTAP (Hybrid Transactional/Analytical Processing)</w:t>
      </w:r>
      <w:r>
        <w:t xml:space="preserve"> </w:t>
      </w:r>
      <w:r>
        <w:t xml:space="preserve">without architectural complexity. Operational data remains in row-optimized format for efficient single-record access, while analytical queries leverage columnar projection and vectorized execution. The</w:t>
      </w:r>
      <w:r>
        <w:t xml:space="preserve"> </w:t>
      </w:r>
      <w:r>
        <w:rPr>
          <w:b/>
          <w:bCs/>
        </w:rPr>
        <w:t xml:space="preserve">fusion engine</w:t>
      </w:r>
      <w:r>
        <w:t xml:space="preserve"> </w:t>
      </w:r>
      <w:r>
        <w:t xml:space="preserve">provides transparent routing between storage formats based on query characteristics, enabling workload-appropriate optimization without application awareness</w:t>
      </w:r>
      <w:r>
        <w:t xml:space="preserve"> </w:t>
      </w:r>
      <w:hyperlink r:id="rId21">
        <w:r>
          <w:rPr>
            <w:rStyle w:val="af"/>
          </w:rPr>
          <w:t xml:space="preserve">(博客园)</w:t>
        </w:r>
      </w:hyperlink>
      <w:r>
        <w:t xml:space="preserve"> </w:t>
      </w:r>
      <w:r>
        <w:t xml:space="preserve">.</w:t>
      </w:r>
    </w:p>
    <w:p>
      <w:pPr>
        <w:pStyle w:val="a0"/>
      </w:pPr>
      <w:r>
        <w:t xml:space="preserve">For Hermes-agent deployments, MOT’s</w:t>
      </w:r>
      <w:r>
        <w:t xml:space="preserve"> </w:t>
      </w:r>
      <w:r>
        <w:rPr>
          <w:b/>
          <w:bCs/>
        </w:rPr>
        <w:t xml:space="preserve">elimination of mid-tier caching layers</w:t>
      </w:r>
      <w:r>
        <w:t xml:space="preserve"> </w:t>
      </w:r>
      <w:r>
        <w:t xml:space="preserve">simplifies architecture and reduces operational complexity. Rather than deploying separate caching infrastructure (Redis, Memcached) for agent state with associated consistency challenges, MOT provides</w:t>
      </w:r>
      <w:r>
        <w:t xml:space="preserve"> </w:t>
      </w:r>
      <w:r>
        <w:rPr>
          <w:b/>
          <w:bCs/>
        </w:rPr>
        <w:t xml:space="preserve">cache-like performance with database durability guarantees</w:t>
      </w:r>
      <w:r>
        <w:t xml:space="preserve">—reducing both capital expenditure and operational expenditure by</w:t>
      </w:r>
      <w:r>
        <w:t xml:space="preserve"> </w:t>
      </w:r>
      <w:r>
        <w:rPr>
          <w:b/>
          <w:bCs/>
        </w:rPr>
        <w:t xml:space="preserve">30-90%</w:t>
      </w:r>
      <w:r>
        <w:t xml:space="preserve"> </w:t>
      </w:r>
      <w:r>
        <w:t xml:space="preserve">according to documented deployments</w:t>
      </w:r>
      <w:r>
        <w:t xml:space="preserve"> </w:t>
      </w:r>
      <w:hyperlink r:id="rId31">
        <w:r>
          <w:rPr>
            <w:rStyle w:val="af"/>
          </w:rPr>
          <w:t xml:space="preserve">(opengauss.org)</w:t>
        </w:r>
      </w:hyperlink>
      <w:r>
        <w:t xml:space="preserve"> </w:t>
      </w:r>
      <w:r>
        <w:t xml:space="preserve">,</w:t>
      </w:r>
      <w:r>
        <w:t xml:space="preserve"> </w:t>
      </w:r>
      <w:hyperlink r:id="rId32">
        <w:r>
          <w:rPr>
            <w:rStyle w:val="af"/>
          </w:rPr>
          <w:t xml:space="preserve">(华为云社区)</w:t>
        </w:r>
      </w:hyperlink>
      <w:r>
        <w:t xml:space="preserve"> </w:t>
      </w:r>
      <w:r>
        <w:t xml:space="preserve">.</w:t>
      </w:r>
    </w:p>
    <w:bookmarkEnd w:id="33"/>
    <w:bookmarkStart w:id="35" w:name="query-processing-enhancements"/>
    <w:p>
      <w:pPr>
        <w:pStyle w:val="4"/>
      </w:pPr>
      <w:r>
        <w:t xml:space="preserve">2.1.3 Query Processing Enhancements</w:t>
      </w:r>
    </w:p>
    <w:p>
      <w:pPr>
        <w:pStyle w:val="FirstParagraph"/>
      </w:pPr>
      <w:r>
        <w:t xml:space="preserve">OpenGauss’s query optimizer incorporates</w:t>
      </w:r>
      <w:r>
        <w:t xml:space="preserve"> </w:t>
      </w:r>
      <w:r>
        <w:rPr>
          <w:b/>
          <w:bCs/>
        </w:rPr>
        <w:t xml:space="preserve">machine learning-based cost estimation</w:t>
      </w:r>
      <w:r>
        <w:t xml:space="preserve"> </w:t>
      </w:r>
      <w:r>
        <w:t xml:space="preserve">that dramatically improves plan quality for complex queries. Academic validation demonstrates</w:t>
      </w:r>
      <w:r>
        <w:t xml:space="preserve"> </w:t>
      </w:r>
      <w:r>
        <w:rPr>
          <w:b/>
          <w:bCs/>
        </w:rPr>
        <w:t xml:space="preserve">11-30x accuracy improvement</w:t>
      </w:r>
      <w:r>
        <w:t xml:space="preserve"> </w:t>
      </w:r>
      <w:r>
        <w:t xml:space="preserve">over traditional optimizers, with specific results showing:</w:t>
      </w:r>
    </w:p>
    <w:tbl>
      <w:tblPr>
        <w:tblStyle w:val="Table"/>
        <w:tblW w:type="pct" w:w="5000"/>
        <w:jc w:val="left"/>
        <w:tblLayout w:type="fixed"/>
        <w:tblLook w:firstRow="1" w:lastRow="0" w:firstColumn="0" w:lastColumn="0" w:noHBand="0" w:noVBand="0" w:val="0020"/>
      </w:tblPr>
      <w:tblGrid>
        <w:gridCol w:w="1452"/>
        <w:gridCol w:w="3564"/>
        <w:gridCol w:w="2904"/>
      </w:tblGrid>
      <w:tr>
        <w:trPr>
          <w:tblHeader w:val="on"/>
        </w:trPr>
        <w:tc>
          <w:tcPr/>
          <w:p>
            <w:pPr>
              <w:pStyle w:val="Compact"/>
              <w:jc w:val="left"/>
            </w:pPr>
            <w:r>
              <w:t xml:space="preserve">Optimizer</w:t>
            </w:r>
          </w:p>
        </w:tc>
        <w:tc>
          <w:tcPr/>
          <w:p>
            <w:pPr>
              <w:pStyle w:val="Compact"/>
              <w:jc w:val="left"/>
            </w:pPr>
            <w:r>
              <w:t xml:space="preserve">Median Error (JOB workload)</w:t>
            </w:r>
          </w:p>
        </w:tc>
        <w:tc>
          <w:tcPr/>
          <w:p>
            <w:pPr>
              <w:pStyle w:val="Compact"/>
              <w:jc w:val="left"/>
            </w:pPr>
            <w:r>
              <w:t xml:space="preserve">95th Percentile Error</w:t>
            </w:r>
          </w:p>
        </w:tc>
      </w:tr>
      <w:tr>
        <w:tc>
          <w:tcPr/>
          <w:p>
            <w:pPr>
              <w:pStyle w:val="Compact"/>
              <w:jc w:val="left"/>
            </w:pPr>
            <w:r>
              <w:rPr>
                <w:b/>
                <w:bCs/>
              </w:rPr>
              <w:t xml:space="preserve">OpenGauss TLSTM</w:t>
            </w:r>
          </w:p>
        </w:tc>
        <w:tc>
          <w:tcPr/>
          <w:p>
            <w:pPr>
              <w:pStyle w:val="Compact"/>
              <w:jc w:val="left"/>
            </w:pPr>
            <w:r>
              <w:rPr>
                <w:b/>
                <w:bCs/>
              </w:rPr>
              <w:t xml:space="preserve">4.07-4.47</w:t>
            </w:r>
          </w:p>
        </w:tc>
        <w:tc>
          <w:tcPr/>
          <w:p>
            <w:pPr>
              <w:pStyle w:val="Compact"/>
              <w:jc w:val="left"/>
            </w:pPr>
            <w:r>
              <w:rPr>
                <w:b/>
                <w:bCs/>
              </w:rPr>
              <w:t xml:space="preserve">17.50-149.00</w:t>
            </w:r>
          </w:p>
        </w:tc>
      </w:tr>
      <w:tr>
        <w:tc>
          <w:tcPr/>
          <w:p>
            <w:pPr>
              <w:pStyle w:val="Compact"/>
              <w:jc w:val="left"/>
            </w:pPr>
            <w:r>
              <w:t xml:space="preserve">PostgreSQL</w:t>
            </w:r>
          </w:p>
        </w:tc>
        <w:tc>
          <w:tcPr/>
          <w:p>
            <w:pPr>
              <w:pStyle w:val="Compact"/>
              <w:jc w:val="left"/>
            </w:pPr>
            <w:r>
              <w:t xml:space="preserve">4.90-7.94</w:t>
            </w:r>
          </w:p>
        </w:tc>
        <w:tc>
          <w:tcPr/>
          <w:p>
            <w:pPr>
              <w:pStyle w:val="Compact"/>
              <w:jc w:val="left"/>
            </w:pPr>
            <w:r>
              <w:t xml:space="preserve">104.00-1,014.00</w:t>
            </w:r>
          </w:p>
        </w:tc>
      </w:tr>
      <w:tr>
        <w:tc>
          <w:tcPr/>
          <w:p>
            <w:pPr>
              <w:pStyle w:val="Compact"/>
              <w:jc w:val="left"/>
            </w:pPr>
            <w:r>
              <w:t xml:space="preserve">MySQL</w:t>
            </w:r>
          </w:p>
        </w:tc>
        <w:tc>
          <w:tcPr/>
          <w:p>
            <w:pPr>
              <w:pStyle w:val="Compact"/>
              <w:jc w:val="left"/>
            </w:pPr>
            <w:r>
              <w:t xml:space="preserve">4.90-7.94</w:t>
            </w:r>
          </w:p>
        </w:tc>
        <w:tc>
          <w:tcPr/>
          <w:p>
            <w:pPr>
              <w:pStyle w:val="Compact"/>
              <w:jc w:val="left"/>
            </w:pPr>
            <w:r>
              <w:t xml:space="preserve">104.00-1,014.00</w:t>
            </w:r>
          </w:p>
        </w:tc>
      </w:tr>
      <w:tr>
        <w:tc>
          <w:tcPr/>
          <w:p>
            <w:pPr>
              <w:pStyle w:val="Compact"/>
              <w:jc w:val="left"/>
            </w:pPr>
            <w:r>
              <w:t xml:space="preserve">Oracle</w:t>
            </w:r>
          </w:p>
        </w:tc>
        <w:tc>
          <w:tcPr/>
          <w:p>
            <w:pPr>
              <w:pStyle w:val="Compact"/>
              <w:jc w:val="left"/>
            </w:pPr>
            <w:r>
              <w:t xml:space="preserve">6.63</w:t>
            </w:r>
          </w:p>
        </w:tc>
        <w:tc>
          <w:tcPr/>
          <w:p>
            <w:pPr>
              <w:pStyle w:val="Compact"/>
              <w:jc w:val="left"/>
            </w:pPr>
            <w:r>
              <w:t xml:space="preserve">104.00-1,014.00</w:t>
            </w:r>
            <w:r>
              <w:t xml:space="preserve"> </w:t>
            </w:r>
            <w:hyperlink r:id="rId34">
              <w:r>
                <w:rPr>
                  <w:rStyle w:val="af"/>
                </w:rPr>
                <w:t xml:space="preserve">(计算机科学与技术杂志)</w:t>
              </w:r>
            </w:hyperlink>
          </w:p>
        </w:tc>
      </w:tr>
    </w:tbl>
    <w:p>
      <w:pPr>
        <w:pStyle w:val="a0"/>
      </w:pPr>
      <w:r>
        <w:t xml:space="preserve">The</w:t>
      </w:r>
      <w:r>
        <w:t xml:space="preserve"> </w:t>
      </w:r>
      <w:r>
        <w:rPr>
          <w:b/>
          <w:bCs/>
        </w:rPr>
        <w:t xml:space="preserve">6-58x improvement in worst-case estimation accuracy</w:t>
      </w:r>
      <w:r>
        <w:t xml:space="preserve"> </w:t>
      </w:r>
      <w:r>
        <w:t xml:space="preserve">translates directly to better execution plan selection and more consistent query performance. Traditional optimizers fail catastrophically when data distributions deviate from modeled expectations; OpenGauss’s</w:t>
      </w:r>
      <w:r>
        <w:t xml:space="preserve"> </w:t>
      </w:r>
      <w:r>
        <w:rPr>
          <w:b/>
          <w:bCs/>
        </w:rPr>
        <w:t xml:space="preserve">tree-structured LSTM networks</w:t>
      </w:r>
      <w:r>
        <w:t xml:space="preserve"> </w:t>
      </w:r>
      <w:r>
        <w:t xml:space="preserve">learn from actual execution outcomes to improve predictions for complex multi-table joins and correlated predicates</w:t>
      </w:r>
      <w:r>
        <w:t xml:space="preserve"> </w:t>
      </w:r>
      <w:hyperlink r:id="rId34">
        <w:r>
          <w:rPr>
            <w:rStyle w:val="af"/>
          </w:rPr>
          <w:t xml:space="preserve">(计算机科学与技术杂志)</w:t>
        </w:r>
      </w:hyperlink>
      <w:r>
        <w:t xml:space="preserve"> </w:t>
      </w:r>
      <w:r>
        <w:t xml:space="preserve">.</w:t>
      </w:r>
    </w:p>
    <w:p>
      <w:pPr>
        <w:pStyle w:val="a0"/>
      </w:pPr>
      <w:r>
        <w:t xml:space="preserve">The</w:t>
      </w:r>
      <w:r>
        <w:t xml:space="preserve"> </w:t>
      </w:r>
      <w:r>
        <w:rPr>
          <w:b/>
          <w:bCs/>
        </w:rPr>
        <w:t xml:space="preserve">learned index advisor</w:t>
      </w:r>
      <w:r>
        <w:t xml:space="preserve"> </w:t>
      </w:r>
      <w:r>
        <w:t xml:space="preserve">extends AI optimization to physical database design, analyzing workload patterns to recommend index configurations that</w:t>
      </w:r>
      <w:r>
        <w:t xml:space="preserve"> </w:t>
      </w:r>
      <w:r>
        <w:rPr>
          <w:b/>
          <w:bCs/>
        </w:rPr>
        <w:t xml:space="preserve">outperform DBA-tuned setups by 2-12% on TPC-H and 2-5% on TPC-C workloads</w:t>
      </w:r>
      <w:r>
        <w:t xml:space="preserve"> </w:t>
      </w:r>
      <w:hyperlink r:id="rId20">
        <w:r>
          <w:rPr>
            <w:rStyle w:val="af"/>
          </w:rPr>
          <w:t xml:space="preserve">(opengauss.org)</w:t>
        </w:r>
      </w:hyperlink>
      <w:r>
        <w:t xml:space="preserve"> </w:t>
      </w:r>
      <w:r>
        <w:t xml:space="preserve">. Virtual index capability enables</w:t>
      </w:r>
      <w:r>
        <w:t xml:space="preserve"> </w:t>
      </w:r>
      <w:r>
        <w:t xml:space="preserve">“</w:t>
      </w:r>
      <w:r>
        <w:t xml:space="preserve">what-if</w:t>
      </w:r>
      <w:r>
        <w:t xml:space="preserve">”</w:t>
      </w:r>
      <w:r>
        <w:t xml:space="preserve"> </w:t>
      </w:r>
      <w:r>
        <w:t xml:space="preserve">analysis without physical creation, reducing the risk of counterproductive index proliferation.</w:t>
      </w:r>
    </w:p>
    <w:bookmarkEnd w:id="35"/>
    <w:bookmarkEnd w:id="36"/>
    <w:bookmarkStart w:id="41" w:name="scalability-features"/>
    <w:p>
      <w:pPr>
        <w:pStyle w:val="3"/>
      </w:pPr>
      <w:r>
        <w:t xml:space="preserve">2.2 Scalability Features</w:t>
      </w:r>
    </w:p>
    <w:bookmarkStart w:id="39" w:name="horizontal-scaling"/>
    <w:p>
      <w:pPr>
        <w:pStyle w:val="4"/>
      </w:pPr>
      <w:r>
        <w:t xml:space="preserve">2.2.1 Horizontal Scaling</w:t>
      </w:r>
    </w:p>
    <w:p>
      <w:pPr>
        <w:pStyle w:val="FirstParagraph"/>
      </w:pPr>
      <w:r>
        <w:t xml:space="preserve">OpenGauss’s</w:t>
      </w:r>
      <w:r>
        <w:t xml:space="preserve"> </w:t>
      </w:r>
      <w:r>
        <w:rPr>
          <w:b/>
          <w:bCs/>
        </w:rPr>
        <w:t xml:space="preserve">distributed architecture implements shard-nothing design</w:t>
      </w:r>
      <w:r>
        <w:t xml:space="preserve"> </w:t>
      </w:r>
      <w:r>
        <w:t xml:space="preserve">with documented support for</w:t>
      </w:r>
      <w:r>
        <w:t xml:space="preserve"> </w:t>
      </w:r>
      <w:r>
        <w:rPr>
          <w:b/>
          <w:bCs/>
        </w:rPr>
        <w:t xml:space="preserve">online expansion to 256 nodes</w:t>
      </w:r>
      <w:r>
        <w:t xml:space="preserve">—providing growth headroom that exceeds most enterprise requirements</w:t>
      </w:r>
      <w:r>
        <w:t xml:space="preserve"> </w:t>
      </w:r>
      <w:hyperlink r:id="rId37">
        <w:r>
          <w:rPr>
            <w:rStyle w:val="af"/>
          </w:rPr>
          <w:t xml:space="preserve">(Click2Cloud)</w:t>
        </w:r>
      </w:hyperlink>
      <w:r>
        <w:t xml:space="preserve"> </w:t>
      </w:r>
      <w:r>
        <w:t xml:space="preserve">. The integration with</w:t>
      </w:r>
      <w:r>
        <w:t xml:space="preserve"> </w:t>
      </w:r>
      <w:r>
        <w:rPr>
          <w:b/>
          <w:bCs/>
        </w:rPr>
        <w:t xml:space="preserve">Apache ShardingSphere</w:t>
      </w:r>
      <w:r>
        <w:t xml:space="preserve"> </w:t>
      </w:r>
      <w:r>
        <w:t xml:space="preserve">enables sophisticated distributed query processing, with benchmarking demonstrating</w:t>
      </w:r>
      <w:r>
        <w:t xml:space="preserve"> </w:t>
      </w:r>
      <w:r>
        <w:rPr>
          <w:b/>
          <w:bCs/>
        </w:rPr>
        <w:t xml:space="preserve">10 million tpmC across 8 database nodes</w:t>
      </w:r>
      <w:r>
        <w:t xml:space="preserve"> </w:t>
      </w:r>
      <w:hyperlink r:id="rId30">
        <w:r>
          <w:rPr>
            <w:rStyle w:val="af"/>
          </w:rPr>
          <w:t xml:space="preserve">(sphere-ex.com)</w:t>
        </w:r>
      </w:hyperlink>
      <w:r>
        <w:t xml:space="preserve"> </w:t>
      </w:r>
      <w:r>
        <w:t xml:space="preserve">.</w:t>
      </w:r>
    </w:p>
    <w:tbl>
      <w:tblPr>
        <w:tblStyle w:val="Table"/>
        <w:tblW w:type="pct" w:w="5000"/>
        <w:jc w:val="left"/>
        <w:tblLayout w:type="fixed"/>
        <w:tblLook w:firstRow="1" w:lastRow="0" w:firstColumn="0" w:lastColumn="0" w:noHBand="0" w:noVBand="0" w:val="0020"/>
      </w:tblPr>
      <w:tblGrid>
        <w:gridCol w:w="2640"/>
        <w:gridCol w:w="1528"/>
        <w:gridCol w:w="3751"/>
      </w:tblGrid>
      <w:tr>
        <w:trPr>
          <w:tblHeader w:val="on"/>
        </w:trPr>
        <w:tc>
          <w:tcPr/>
          <w:p>
            <w:pPr>
              <w:pStyle w:val="Compact"/>
              <w:jc w:val="left"/>
            </w:pPr>
            <w:r>
              <w:t xml:space="preserve">Scaling Dimension</w:t>
            </w:r>
          </w:p>
        </w:tc>
        <w:tc>
          <w:tcPr/>
          <w:p>
            <w:pPr>
              <w:pStyle w:val="Compact"/>
              <w:jc w:val="left"/>
            </w:pPr>
            <w:r>
              <w:t xml:space="preserve">Capability</w:t>
            </w:r>
          </w:p>
        </w:tc>
        <w:tc>
          <w:tcPr/>
          <w:p>
            <w:pPr>
              <w:pStyle w:val="Compact"/>
              <w:jc w:val="left"/>
            </w:pPr>
            <w:r>
              <w:t xml:space="preserve">Operational Characteristic</w:t>
            </w:r>
          </w:p>
        </w:tc>
      </w:tr>
      <w:tr>
        <w:tc>
          <w:tcPr/>
          <w:p>
            <w:pPr>
              <w:pStyle w:val="Compact"/>
              <w:jc w:val="left"/>
            </w:pPr>
            <w:r>
              <w:rPr>
                <w:b/>
                <w:bCs/>
              </w:rPr>
              <w:t xml:space="preserve">Node count</w:t>
            </w:r>
          </w:p>
        </w:tc>
        <w:tc>
          <w:tcPr/>
          <w:p>
            <w:pPr>
              <w:pStyle w:val="Compact"/>
              <w:jc w:val="left"/>
            </w:pPr>
            <w:r>
              <w:t xml:space="preserve">Up to 256 nodes</w:t>
            </w:r>
          </w:p>
        </w:tc>
        <w:tc>
          <w:tcPr/>
          <w:p>
            <w:pPr>
              <w:pStyle w:val="Compact"/>
              <w:jc w:val="left"/>
            </w:pPr>
            <w:r>
              <w:t xml:space="preserve">Online addition without service interruption</w:t>
            </w:r>
          </w:p>
        </w:tc>
      </w:tr>
      <w:tr>
        <w:tc>
          <w:tcPr/>
          <w:p>
            <w:pPr>
              <w:pStyle w:val="Compact"/>
              <w:jc w:val="left"/>
            </w:pPr>
            <w:r>
              <w:rPr>
                <w:b/>
                <w:bCs/>
              </w:rPr>
              <w:t xml:space="preserve">Partition granularity</w:t>
            </w:r>
          </w:p>
        </w:tc>
        <w:tc>
          <w:tcPr/>
          <w:p>
            <w:pPr>
              <w:pStyle w:val="Compact"/>
              <w:jc w:val="left"/>
            </w:pPr>
            <w:r>
              <w:t xml:space="preserve">32,768 range partitions per table</w:t>
            </w:r>
          </w:p>
        </w:tc>
        <w:tc>
          <w:tcPr/>
          <w:p>
            <w:pPr>
              <w:pStyle w:val="Compact"/>
              <w:jc w:val="left"/>
            </w:pPr>
            <w:r>
              <w:t xml:space="preserve">Automatic interval-based creation</w:t>
            </w:r>
          </w:p>
        </w:tc>
      </w:tr>
      <w:tr>
        <w:tc>
          <w:tcPr/>
          <w:p>
            <w:pPr>
              <w:pStyle w:val="Compact"/>
              <w:jc w:val="left"/>
            </w:pPr>
            <w:r>
              <w:rPr>
                <w:b/>
                <w:bCs/>
              </w:rPr>
              <w:t xml:space="preserve">Replication topology</w:t>
            </w:r>
          </w:p>
        </w:tc>
        <w:tc>
          <w:tcPr/>
          <w:p>
            <w:pPr>
              <w:pStyle w:val="Compact"/>
              <w:jc w:val="left"/>
            </w:pPr>
            <w:r>
              <w:t xml:space="preserve">Cascaded standby servers</w:t>
            </w:r>
          </w:p>
        </w:tc>
        <w:tc>
          <w:tcPr/>
          <w:p>
            <w:pPr>
              <w:pStyle w:val="Compact"/>
              <w:jc w:val="left"/>
            </w:pPr>
            <w:r>
              <w:t xml:space="preserve">Hierarchical replication reducing primary load</w:t>
            </w:r>
          </w:p>
        </w:tc>
      </w:tr>
      <w:tr>
        <w:tc>
          <w:tcPr/>
          <w:p>
            <w:pPr>
              <w:pStyle w:val="Compact"/>
              <w:jc w:val="left"/>
            </w:pPr>
            <w:r>
              <w:rPr>
                <w:b/>
                <w:bCs/>
              </w:rPr>
              <w:t xml:space="preserve">Consistency model</w:t>
            </w:r>
          </w:p>
        </w:tc>
        <w:tc>
          <w:tcPr/>
          <w:p>
            <w:pPr>
              <w:pStyle w:val="Compact"/>
              <w:jc w:val="left"/>
            </w:pPr>
            <w:r>
              <w:t xml:space="preserve">Paxos-based distributed consensus</w:t>
            </w:r>
          </w:p>
        </w:tc>
        <w:tc>
          <w:tcPr/>
          <w:p>
            <w:pPr>
              <w:pStyle w:val="Compact"/>
              <w:jc w:val="left"/>
            </w:pPr>
            <w:r>
              <w:t xml:space="preserve">Automatic failover with quorum</w:t>
            </w:r>
            <w:r>
              <w:t xml:space="preserve"> </w:t>
            </w:r>
            <w:hyperlink r:id="rId20">
              <w:r>
                <w:rPr>
                  <w:rStyle w:val="af"/>
                </w:rPr>
                <w:t xml:space="preserve">(opengauss.org)</w:t>
              </w:r>
            </w:hyperlink>
            <w:r>
              <w:t xml:space="preserve"> </w:t>
            </w:r>
            <w:r>
              <w:t xml:space="preserve">,</w:t>
            </w:r>
            <w:r>
              <w:t xml:space="preserve"> </w:t>
            </w:r>
            <w:hyperlink r:id="rId38">
              <w:r>
                <w:rPr>
                  <w:rStyle w:val="af"/>
                </w:rPr>
                <w:t xml:space="preserve">(opengauss.org)</w:t>
              </w:r>
            </w:hyperlink>
          </w:p>
        </w:tc>
      </w:tr>
    </w:tbl>
    <w:p>
      <w:pPr>
        <w:pStyle w:val="a0"/>
      </w:pPr>
      <w:r>
        <w:t xml:space="preserve">The</w:t>
      </w:r>
      <w:r>
        <w:t xml:space="preserve"> </w:t>
      </w:r>
      <w:r>
        <w:rPr>
          <w:b/>
          <w:bCs/>
        </w:rPr>
        <w:t xml:space="preserve">elastic capacity expansion</w:t>
      </w:r>
      <w:r>
        <w:t xml:space="preserve"> </w:t>
      </w:r>
      <w:r>
        <w:t xml:space="preserve">capability enables cloud-native operational patterns where resources adjust dynamically to demand. The</w:t>
      </w:r>
      <w:r>
        <w:t xml:space="preserve"> </w:t>
      </w:r>
      <w:r>
        <w:rPr>
          <w:b/>
          <w:bCs/>
        </w:rPr>
        <w:t xml:space="preserve">resource pooling architecture</w:t>
      </w:r>
      <w:r>
        <w:t xml:space="preserve"> </w:t>
      </w:r>
      <w:r>
        <w:t xml:space="preserve">separates compute, storage, and memory into independently scalable tiers, achieving</w:t>
      </w:r>
      <w:r>
        <w:t xml:space="preserve"> </w:t>
      </w:r>
      <w:r>
        <w:rPr>
          <w:b/>
          <w:bCs/>
        </w:rPr>
        <w:t xml:space="preserve">85% resource utilization</w:t>
      </w:r>
      <w:r>
        <w:t xml:space="preserve"> </w:t>
      </w:r>
      <w:r>
        <w:t xml:space="preserve">compared to typical</w:t>
      </w:r>
      <w:r>
        <w:t xml:space="preserve"> </w:t>
      </w:r>
      <w:r>
        <w:rPr>
          <w:b/>
          <w:bCs/>
        </w:rPr>
        <w:t xml:space="preserve">40-60% in traditional architectures</w:t>
      </w:r>
      <w:r>
        <w:t xml:space="preserve"> </w:t>
      </w:r>
      <w:hyperlink r:id="rId21">
        <w:r>
          <w:rPr>
            <w:rStyle w:val="af"/>
          </w:rPr>
          <w:t xml:space="preserve">(博客园)</w:t>
        </w:r>
      </w:hyperlink>
      <w:r>
        <w:t xml:space="preserve"> </w:t>
      </w:r>
      <w:r>
        <w:t xml:space="preserve">. This efficiency translates directly to cost optimization, as organizations provision capacity precisely where bottlenecks emerge rather than through proportional scaling of all components.</w:t>
      </w:r>
    </w:p>
    <w:bookmarkEnd w:id="39"/>
    <w:bookmarkStart w:id="40" w:name="vertical-scaling"/>
    <w:p>
      <w:pPr>
        <w:pStyle w:val="4"/>
      </w:pPr>
      <w:r>
        <w:t xml:space="preserve">2.2.2 Vertical Scaling</w:t>
      </w:r>
    </w:p>
    <w:p>
      <w:pPr>
        <w:pStyle w:val="FirstParagraph"/>
      </w:pPr>
      <w:r>
        <w:t xml:space="preserve">Single-node vertical scaling addresses scenarios where distributed coordination overhead would be prohibitive or where data access patterns don’t partition cleanly. OpenGauss supports:</w:t>
      </w:r>
    </w:p>
    <w:tbl>
      <w:tblPr>
        <w:tblStyle w:val="Table"/>
        <w:tblW w:type="pct" w:w="5000"/>
        <w:jc w:val="left"/>
        <w:tblLayout w:type="fixed"/>
        <w:tblLook w:firstRow="1" w:lastRow="0" w:firstColumn="0" w:lastColumn="0" w:noHBand="0" w:noVBand="0" w:val="0020"/>
      </w:tblPr>
      <w:tblGrid>
        <w:gridCol w:w="2354"/>
        <w:gridCol w:w="2782"/>
        <w:gridCol w:w="2782"/>
      </w:tblGrid>
      <w:tr>
        <w:trPr>
          <w:tblHeader w:val="on"/>
        </w:trPr>
        <w:tc>
          <w:tcPr/>
          <w:p>
            <w:pPr>
              <w:pStyle w:val="Compact"/>
              <w:jc w:val="left"/>
            </w:pPr>
            <w:r>
              <w:t xml:space="preserve">Capability</w:t>
            </w:r>
          </w:p>
        </w:tc>
        <w:tc>
          <w:tcPr/>
          <w:p>
            <w:pPr>
              <w:pStyle w:val="Compact"/>
              <w:jc w:val="left"/>
            </w:pPr>
            <w:r>
              <w:t xml:space="preserve">Specification</w:t>
            </w:r>
          </w:p>
        </w:tc>
        <w:tc>
          <w:tcPr/>
          <w:p>
            <w:pPr>
              <w:pStyle w:val="Compact"/>
              <w:jc w:val="left"/>
            </w:pPr>
            <w:r>
              <w:t xml:space="preserve">Implication</w:t>
            </w:r>
          </w:p>
        </w:tc>
      </w:tr>
      <w:tr>
        <w:tc>
          <w:tcPr/>
          <w:p>
            <w:pPr>
              <w:pStyle w:val="Compact"/>
              <w:jc w:val="left"/>
            </w:pPr>
            <w:r>
              <w:rPr>
                <w:b/>
                <w:bCs/>
              </w:rPr>
              <w:t xml:space="preserve">Concurrent connections</w:t>
            </w:r>
          </w:p>
        </w:tc>
        <w:tc>
          <w:tcPr/>
          <w:p>
            <w:pPr>
              <w:pStyle w:val="Compact"/>
              <w:jc w:val="left"/>
            </w:pPr>
            <w:r>
              <w:rPr>
                <w:b/>
                <w:bCs/>
              </w:rPr>
              <w:t xml:space="preserve">10,000</w:t>
            </w:r>
          </w:p>
        </w:tc>
        <w:tc>
          <w:tcPr/>
          <w:p>
            <w:pPr>
              <w:pStyle w:val="Compact"/>
              <w:jc w:val="left"/>
            </w:pPr>
            <w:r>
              <w:t xml:space="preserve">High-density agent service deployment</w:t>
            </w:r>
          </w:p>
        </w:tc>
      </w:tr>
      <w:tr>
        <w:tc>
          <w:tcPr/>
          <w:p>
            <w:pPr>
              <w:pStyle w:val="Compact"/>
              <w:jc w:val="left"/>
            </w:pPr>
            <w:r>
              <w:rPr>
                <w:b/>
                <w:bCs/>
              </w:rPr>
              <w:t xml:space="preserve">Single table size</w:t>
            </w:r>
          </w:p>
        </w:tc>
        <w:tc>
          <w:tcPr/>
          <w:p>
            <w:pPr>
              <w:pStyle w:val="Compact"/>
              <w:jc w:val="left"/>
            </w:pPr>
            <w:r>
              <w:rPr>
                <w:b/>
                <w:bCs/>
              </w:rPr>
              <w:t xml:space="preserve">32 TB</w:t>
            </w:r>
          </w:p>
        </w:tc>
        <w:tc>
          <w:tcPr/>
          <w:p>
            <w:pPr>
              <w:pStyle w:val="Compact"/>
              <w:jc w:val="left"/>
            </w:pPr>
            <w:r>
              <w:t xml:space="preserve">Large object and historical data storage</w:t>
            </w:r>
          </w:p>
        </w:tc>
      </w:tr>
      <w:tr>
        <w:tc>
          <w:tcPr/>
          <w:p>
            <w:pPr>
              <w:pStyle w:val="Compact"/>
              <w:jc w:val="left"/>
            </w:pPr>
            <w:r>
              <w:rPr>
                <w:b/>
                <w:bCs/>
              </w:rPr>
              <w:t xml:space="preserve">Maximum row size</w:t>
            </w:r>
          </w:p>
        </w:tc>
        <w:tc>
          <w:tcPr/>
          <w:p>
            <w:pPr>
              <w:pStyle w:val="Compact"/>
              <w:jc w:val="left"/>
            </w:pPr>
            <w:r>
              <w:rPr>
                <w:b/>
                <w:bCs/>
              </w:rPr>
              <w:t xml:space="preserve">1 GB</w:t>
            </w:r>
          </w:p>
        </w:tc>
        <w:tc>
          <w:tcPr/>
          <w:p>
            <w:pPr>
              <w:pStyle w:val="Compact"/>
              <w:jc w:val="left"/>
            </w:pPr>
            <w:r>
              <w:t xml:space="preserve">Complex agent state serialization</w:t>
            </w:r>
          </w:p>
        </w:tc>
      </w:tr>
      <w:tr>
        <w:tc>
          <w:tcPr/>
          <w:p>
            <w:pPr>
              <w:pStyle w:val="Compact"/>
              <w:jc w:val="left"/>
            </w:pPr>
            <w:r>
              <w:rPr>
                <w:b/>
                <w:bCs/>
              </w:rPr>
              <w:t xml:space="preserve">Thread pool efficiency</w:t>
            </w:r>
          </w:p>
        </w:tc>
        <w:tc>
          <w:tcPr/>
          <w:p>
            <w:pPr>
              <w:pStyle w:val="Compact"/>
              <w:jc w:val="left"/>
            </w:pPr>
            <w:r>
              <w:t xml:space="preserve">Linear scaling to high core counts</w:t>
            </w:r>
          </w:p>
        </w:tc>
        <w:tc>
          <w:tcPr/>
          <w:p>
            <w:pPr>
              <w:pStyle w:val="Compact"/>
              <w:jc w:val="left"/>
            </w:pPr>
            <w:r>
              <w:t xml:space="preserve">Effective utilization of modern servers</w:t>
            </w:r>
            <w:r>
              <w:t xml:space="preserve"> </w:t>
            </w:r>
            <w:hyperlink r:id="rId27">
              <w:r>
                <w:rPr>
                  <w:rStyle w:val="af"/>
                </w:rPr>
                <w:t xml:space="preserve">(hc-cdn.cn)</w:t>
              </w:r>
            </w:hyperlink>
          </w:p>
        </w:tc>
      </w:tr>
    </w:tbl>
    <w:p>
      <w:pPr>
        <w:pStyle w:val="a0"/>
      </w:pPr>
      <w:r>
        <w:t xml:space="preserve">The</w:t>
      </w:r>
      <w:r>
        <w:t xml:space="preserve"> </w:t>
      </w:r>
      <w:r>
        <w:rPr>
          <w:b/>
          <w:bCs/>
        </w:rPr>
        <w:t xml:space="preserve">efficient resource utilization on high-core-count servers</w:t>
      </w:r>
      <w:r>
        <w:t xml:space="preserve">—maintaining</w:t>
      </w:r>
      <w:r>
        <w:t xml:space="preserve"> </w:t>
      </w:r>
      <w:r>
        <w:rPr>
          <w:b/>
          <w:bCs/>
        </w:rPr>
        <w:t xml:space="preserve">95% CPU utilization on 8-way configurations</w:t>
      </w:r>
      <w:r>
        <w:t xml:space="preserve">—contrasts with databases that encounter scalability bottlenecks well below hardware limits</w:t>
      </w:r>
      <w:r>
        <w:t xml:space="preserve"> </w:t>
      </w:r>
      <w:hyperlink r:id="rId21">
        <w:r>
          <w:rPr>
            <w:rStyle w:val="af"/>
          </w:rPr>
          <w:t xml:space="preserve">(博客园)</w:t>
        </w:r>
      </w:hyperlink>
      <w:r>
        <w:t xml:space="preserve"> </w:t>
      </w:r>
      <w:r>
        <w:t xml:space="preserve">. This characteristic enables longer server refresh cycles and greater workload density, improving capital efficiency.</w:t>
      </w:r>
    </w:p>
    <w:bookmarkEnd w:id="40"/>
    <w:bookmarkEnd w:id="41"/>
    <w:bookmarkStart w:id="50" w:name="security-framework"/>
    <w:p>
      <w:pPr>
        <w:pStyle w:val="3"/>
      </w:pPr>
      <w:r>
        <w:t xml:space="preserve">2.3 Security Framework</w:t>
      </w:r>
    </w:p>
    <w:bookmarkStart w:id="44" w:name="data-protection"/>
    <w:p>
      <w:pPr>
        <w:pStyle w:val="4"/>
      </w:pPr>
      <w:r>
        <w:t xml:space="preserve">2.3.1 Data Protection</w:t>
      </w:r>
    </w:p>
    <w:p>
      <w:pPr>
        <w:pStyle w:val="FirstParagraph"/>
      </w:pPr>
      <w:r>
        <w:rPr>
          <w:b/>
          <w:bCs/>
        </w:rPr>
        <w:t xml:space="preserve">Transparent Data Encryption (TDE)</w:t>
      </w:r>
      <w:r>
        <w:t xml:space="preserve"> </w:t>
      </w:r>
      <w:r>
        <w:t xml:space="preserve">provides cryptographic protection for data at rest with</w:t>
      </w:r>
      <w:r>
        <w:t xml:space="preserve"> </w:t>
      </w:r>
      <w:r>
        <w:rPr>
          <w:b/>
          <w:bCs/>
        </w:rPr>
        <w:t xml:space="preserve">three-layer key management</w:t>
      </w:r>
      <w:r>
        <w:t xml:space="preserve">: root keys (RK), cluster master keys (CMK), and data encryption keys (DEK). This hierarchical structure enables</w:t>
      </w:r>
      <w:r>
        <w:t xml:space="preserve"> </w:t>
      </w:r>
      <w:r>
        <w:rPr>
          <w:b/>
          <w:bCs/>
        </w:rPr>
        <w:t xml:space="preserve">granular key rotation without table re-creation</w:t>
      </w:r>
      <w:r>
        <w:t xml:space="preserve"> </w:t>
      </w:r>
      <w:r>
        <w:t xml:space="preserve">and</w:t>
      </w:r>
      <w:r>
        <w:t xml:space="preserve"> </w:t>
      </w:r>
      <w:r>
        <w:rPr>
          <w:b/>
          <w:bCs/>
        </w:rPr>
        <w:t xml:space="preserve">table-level encryption granularity</w:t>
      </w:r>
      <w:r>
        <w:t xml:space="preserve"> </w:t>
      </w:r>
      <w:r>
        <w:t xml:space="preserve">for selective protection of sensitive data</w:t>
      </w:r>
      <w:r>
        <w:t xml:space="preserve"> </w:t>
      </w:r>
      <w:hyperlink r:id="rId42">
        <w:r>
          <w:rPr>
            <w:rStyle w:val="af"/>
          </w:rPr>
          <w:t xml:space="preserve">(opengauss.org)</w:t>
        </w:r>
      </w:hyperlink>
      <w:r>
        <w:t xml:space="preserve"> </w:t>
      </w:r>
      <w:r>
        <w:t xml:space="preserve">.</w:t>
      </w:r>
    </w:p>
    <w:tbl>
      <w:tblPr>
        <w:tblStyle w:val="Table"/>
        <w:tblW w:type="pct" w:w="5000"/>
        <w:jc w:val="left"/>
        <w:tblLayout w:type="fixed"/>
        <w:tblLook w:firstRow="1" w:lastRow="0" w:firstColumn="0" w:lastColumn="0" w:noHBand="0" w:noVBand="0" w:val="0020"/>
      </w:tblPr>
      <w:tblGrid>
        <w:gridCol w:w="2562"/>
        <w:gridCol w:w="2212"/>
        <w:gridCol w:w="3144"/>
      </w:tblGrid>
      <w:tr>
        <w:trPr>
          <w:tblHeader w:val="on"/>
        </w:trPr>
        <w:tc>
          <w:tcPr/>
          <w:p>
            <w:pPr>
              <w:pStyle w:val="Compact"/>
              <w:jc w:val="left"/>
            </w:pPr>
            <w:r>
              <w:t xml:space="preserve">Encryption Capability</w:t>
            </w:r>
          </w:p>
        </w:tc>
        <w:tc>
          <w:tcPr/>
          <w:p>
            <w:pPr>
              <w:pStyle w:val="Compact"/>
              <w:jc w:val="left"/>
            </w:pPr>
            <w:r>
              <w:t xml:space="preserve">Algorithm Support</w:t>
            </w:r>
          </w:p>
        </w:tc>
        <w:tc>
          <w:tcPr/>
          <w:p>
            <w:pPr>
              <w:pStyle w:val="Compact"/>
              <w:jc w:val="left"/>
            </w:pPr>
            <w:r>
              <w:t xml:space="preserve">Operational Characteristic</w:t>
            </w:r>
          </w:p>
        </w:tc>
      </w:tr>
      <w:tr>
        <w:tc>
          <w:tcPr/>
          <w:p>
            <w:pPr>
              <w:pStyle w:val="Compact"/>
              <w:jc w:val="left"/>
            </w:pPr>
            <w:r>
              <w:rPr>
                <w:b/>
                <w:bCs/>
              </w:rPr>
              <w:t xml:space="preserve">Data at rest</w:t>
            </w:r>
          </w:p>
        </w:tc>
        <w:tc>
          <w:tcPr/>
          <w:p>
            <w:pPr>
              <w:pStyle w:val="Compact"/>
              <w:jc w:val="left"/>
            </w:pPr>
            <w:r>
              <w:t xml:space="preserve">AES-128-CTR,</w:t>
            </w:r>
            <w:r>
              <w:t xml:space="preserve"> </w:t>
            </w:r>
            <w:r>
              <w:rPr>
                <w:b/>
                <w:bCs/>
              </w:rPr>
              <w:t xml:space="preserve">SM4-CTR</w:t>
            </w:r>
          </w:p>
        </w:tc>
        <w:tc>
          <w:tcPr/>
          <w:p>
            <w:pPr>
              <w:pStyle w:val="Compact"/>
              <w:jc w:val="left"/>
            </w:pPr>
            <w:r>
              <w:t xml:space="preserve">Hardware-accelerated with minimal performance impact</w:t>
            </w:r>
          </w:p>
        </w:tc>
      </w:tr>
      <w:tr>
        <w:tc>
          <w:tcPr/>
          <w:p>
            <w:pPr>
              <w:pStyle w:val="Compact"/>
              <w:jc w:val="left"/>
            </w:pPr>
            <w:r>
              <w:rPr>
                <w:b/>
                <w:bCs/>
              </w:rPr>
              <w:t xml:space="preserve">Key management</w:t>
            </w:r>
          </w:p>
        </w:tc>
        <w:tc>
          <w:tcPr/>
          <w:p>
            <w:pPr>
              <w:pStyle w:val="Compact"/>
              <w:jc w:val="left"/>
            </w:pPr>
            <w:r>
              <w:t xml:space="preserve">HSM integration</w:t>
            </w:r>
          </w:p>
        </w:tc>
        <w:tc>
          <w:tcPr/>
          <w:p>
            <w:pPr>
              <w:pStyle w:val="Compact"/>
              <w:jc w:val="left"/>
            </w:pPr>
            <w:r>
              <w:t xml:space="preserve">Centralized key lifecycle management</w:t>
            </w:r>
          </w:p>
        </w:tc>
      </w:tr>
      <w:tr>
        <w:tc>
          <w:tcPr/>
          <w:p>
            <w:pPr>
              <w:pStyle w:val="Compact"/>
              <w:jc w:val="left"/>
            </w:pPr>
            <w:r>
              <w:rPr>
                <w:b/>
                <w:bCs/>
              </w:rPr>
              <w:t xml:space="preserve">Encryption scope</w:t>
            </w:r>
          </w:p>
        </w:tc>
        <w:tc>
          <w:tcPr/>
          <w:p>
            <w:pPr>
              <w:pStyle w:val="Compact"/>
              <w:jc w:val="left"/>
            </w:pPr>
            <w:r>
              <w:t xml:space="preserve">Row-store heap tables</w:t>
            </w:r>
          </w:p>
        </w:tc>
        <w:tc>
          <w:tcPr/>
          <w:p>
            <w:pPr>
              <w:pStyle w:val="Compact"/>
              <w:jc w:val="left"/>
            </w:pPr>
            <w:r>
              <w:t xml:space="preserve">Column-store, indexes require alternative protection</w:t>
            </w:r>
            <w:r>
              <w:t xml:space="preserve"> </w:t>
            </w:r>
            <w:hyperlink r:id="rId42">
              <w:r>
                <w:rPr>
                  <w:rStyle w:val="af"/>
                </w:rPr>
                <w:t xml:space="preserve">(opengauss.org)</w:t>
              </w:r>
            </w:hyperlink>
          </w:p>
        </w:tc>
      </w:tr>
    </w:tbl>
    <w:p>
      <w:pPr>
        <w:pStyle w:val="a0"/>
      </w:pPr>
      <w:r>
        <w:t xml:space="preserve">The</w:t>
      </w:r>
      <w:r>
        <w:t xml:space="preserve"> </w:t>
      </w:r>
      <w:r>
        <w:rPr>
          <w:b/>
          <w:bCs/>
        </w:rPr>
        <w:t xml:space="preserve">fully-encrypted computing capability</w:t>
      </w:r>
      <w:r>
        <w:t xml:space="preserve"> </w:t>
      </w:r>
      <w:r>
        <w:t xml:space="preserve">extends protection to data in use, with client-side encryption ensuring ciphertext persists through server processing. This architecture addresses</w:t>
      </w:r>
      <w:r>
        <w:t xml:space="preserve"> </w:t>
      </w:r>
      <w:r>
        <w:rPr>
          <w:b/>
          <w:bCs/>
        </w:rPr>
        <w:t xml:space="preserve">cloud lifecycle data privacy</w:t>
      </w:r>
      <w:r>
        <w:t xml:space="preserve"> </w:t>
      </w:r>
      <w:r>
        <w:t xml:space="preserve">requirements, enabling agent processing of sensitive information with reduced exposure risk</w:t>
      </w:r>
      <w:r>
        <w:t xml:space="preserve"> </w:t>
      </w:r>
      <w:hyperlink r:id="rId43">
        <w:r>
          <w:rPr>
            <w:rStyle w:val="af"/>
          </w:rPr>
          <w:t xml:space="preserve">(opengauss.org)</w:t>
        </w:r>
      </w:hyperlink>
      <w:r>
        <w:t xml:space="preserve"> </w:t>
      </w:r>
      <w:r>
        <w:t xml:space="preserve">.</w:t>
      </w:r>
    </w:p>
    <w:bookmarkEnd w:id="44"/>
    <w:bookmarkStart w:id="47" w:name="access-control"/>
    <w:p>
      <w:pPr>
        <w:pStyle w:val="4"/>
      </w:pPr>
      <w:r>
        <w:t xml:space="preserve">2.3.2 Access Control</w:t>
      </w:r>
    </w:p>
    <w:p>
      <w:pPr>
        <w:pStyle w:val="FirstParagraph"/>
      </w:pPr>
      <w:r>
        <w:t xml:space="preserve">OpenGauss implements</w:t>
      </w:r>
      <w:r>
        <w:t xml:space="preserve"> </w:t>
      </w:r>
      <w:r>
        <w:rPr>
          <w:b/>
          <w:bCs/>
        </w:rPr>
        <w:t xml:space="preserve">dual-mode access control</w:t>
      </w:r>
      <w:r>
        <w:t xml:space="preserve"> </w:t>
      </w:r>
      <w:r>
        <w:t xml:space="preserve">accommodating diverse operational requirements:</w:t>
      </w:r>
    </w:p>
    <w:tbl>
      <w:tblPr>
        <w:tblStyle w:val="Table"/>
        <w:tblW w:type="pct" w:w="5000"/>
        <w:jc w:val="left"/>
        <w:tblLayout w:type="fixed"/>
        <w:tblLook w:firstRow="1" w:lastRow="0" w:firstColumn="0" w:lastColumn="0" w:noHBand="0" w:noVBand="0" w:val="0020"/>
      </w:tblPr>
      <w:tblGrid>
        <w:gridCol w:w="1131"/>
        <w:gridCol w:w="2640"/>
        <w:gridCol w:w="4148"/>
      </w:tblGrid>
      <w:tr>
        <w:trPr>
          <w:tblHeader w:val="on"/>
        </w:trPr>
        <w:tc>
          <w:tcPr/>
          <w:p>
            <w:pPr>
              <w:pStyle w:val="Compact"/>
              <w:jc w:val="left"/>
            </w:pPr>
            <w:r>
              <w:t xml:space="preserve">Mode</w:t>
            </w:r>
          </w:p>
        </w:tc>
        <w:tc>
          <w:tcPr/>
          <w:p>
            <w:pPr>
              <w:pStyle w:val="Compact"/>
              <w:jc w:val="left"/>
            </w:pPr>
            <w:r>
              <w:t xml:space="preserve">Role Structure</w:t>
            </w:r>
          </w:p>
        </w:tc>
        <w:tc>
          <w:tcPr/>
          <w:p>
            <w:pPr>
              <w:pStyle w:val="Compact"/>
              <w:jc w:val="left"/>
            </w:pPr>
            <w:r>
              <w:t xml:space="preserve">Appropriate Scenario</w:t>
            </w:r>
          </w:p>
        </w:tc>
      </w:tr>
      <w:tr>
        <w:tc>
          <w:tcPr/>
          <w:p>
            <w:pPr>
              <w:pStyle w:val="Compact"/>
              <w:jc w:val="left"/>
            </w:pPr>
            <w:r>
              <w:rPr>
                <w:b/>
                <w:bCs/>
              </w:rPr>
              <w:t xml:space="preserve">RBAC</w:t>
            </w:r>
          </w:p>
        </w:tc>
        <w:tc>
          <w:tcPr/>
          <w:p>
            <w:pPr>
              <w:pStyle w:val="Compact"/>
              <w:jc w:val="left"/>
            </w:pPr>
            <w:r>
              <w:t xml:space="preserve">System admin, monitoring admin, O&amp;M admin, security policy admin, common user</w:t>
            </w:r>
          </w:p>
        </w:tc>
        <w:tc>
          <w:tcPr/>
          <w:p>
            <w:pPr>
              <w:pStyle w:val="Compact"/>
              <w:jc w:val="left"/>
            </w:pPr>
            <w:r>
              <w:t xml:space="preserve">Standard enterprise deployments</w:t>
            </w:r>
          </w:p>
        </w:tc>
      </w:tr>
      <w:tr>
        <w:tc>
          <w:tcPr/>
          <w:p>
            <w:pPr>
              <w:pStyle w:val="Compact"/>
              <w:jc w:val="left"/>
            </w:pPr>
            <w:r>
              <w:rPr>
                <w:b/>
                <w:bCs/>
              </w:rPr>
              <w:t xml:space="preserve">Separation of Duties</w:t>
            </w:r>
          </w:p>
        </w:tc>
        <w:tc>
          <w:tcPr/>
          <w:p>
            <w:pPr>
              <w:pStyle w:val="Compact"/>
              <w:jc w:val="left"/>
            </w:pPr>
            <w:r>
              <w:t xml:space="preserve">Security administrator, audit administrator, system administrator (mutually exclusive)</w:t>
            </w:r>
          </w:p>
        </w:tc>
        <w:tc>
          <w:tcPr/>
          <w:p>
            <w:pPr>
              <w:pStyle w:val="Compact"/>
              <w:jc w:val="left"/>
            </w:pPr>
            <w:r>
              <w:t xml:space="preserve">Regulated environments, compliance requirements</w:t>
            </w:r>
            <w:r>
              <w:t xml:space="preserve"> </w:t>
            </w:r>
            <w:hyperlink r:id="rId45">
              <w:r>
                <w:rPr>
                  <w:rStyle w:val="af"/>
                </w:rPr>
                <w:t xml:space="preserve">(opengauss.org)</w:t>
              </w:r>
            </w:hyperlink>
          </w:p>
        </w:tc>
      </w:tr>
    </w:tbl>
    <w:p>
      <w:pPr>
        <w:pStyle w:val="a0"/>
      </w:pPr>
      <w:r>
        <w:t xml:space="preserve">The</w:t>
      </w:r>
      <w:r>
        <w:t xml:space="preserve"> </w:t>
      </w:r>
      <w:r>
        <w:rPr>
          <w:b/>
          <w:bCs/>
        </w:rPr>
        <w:t xml:space="preserve">private user capability</w:t>
      </w:r>
      <w:r>
        <w:t xml:space="preserve"> </w:t>
      </w:r>
      <w:r>
        <w:t xml:space="preserve">with</w:t>
      </w:r>
      <w:r>
        <w:t xml:space="preserve"> </w:t>
      </w:r>
      <w:r>
        <w:rPr>
          <w:rStyle w:val="VerbatimChar"/>
        </w:rPr>
        <w:t xml:space="preserve">INDEPENDENT</w:t>
      </w:r>
      <w:r>
        <w:t xml:space="preserve"> </w:t>
      </w:r>
      <w:r>
        <w:t xml:space="preserve">attribute creates</w:t>
      </w:r>
      <w:r>
        <w:t xml:space="preserve"> </w:t>
      </w:r>
      <w:r>
        <w:rPr>
          <w:b/>
          <w:bCs/>
        </w:rPr>
        <w:t xml:space="preserve">isolated privilege domains</w:t>
      </w:r>
      <w:r>
        <w:t xml:space="preserve"> </w:t>
      </w:r>
      <w:r>
        <w:t xml:space="preserve">where administrative operations on schema objects are permitted but data access requires explicit grant—even database administrators cannot query private user data without authorization</w:t>
      </w:r>
      <w:r>
        <w:t xml:space="preserve"> </w:t>
      </w:r>
      <w:hyperlink r:id="rId46">
        <w:r>
          <w:rPr>
            <w:rStyle w:val="af"/>
          </w:rPr>
          <w:t xml:space="preserve">(opengauss.org)</w:t>
        </w:r>
      </w:hyperlink>
      <w:r>
        <w:t xml:space="preserve"> </w:t>
      </w:r>
      <w:r>
        <w:t xml:space="preserve">. This architectural pattern enables</w:t>
      </w:r>
      <w:r>
        <w:t xml:space="preserve"> </w:t>
      </w:r>
      <w:r>
        <w:rPr>
          <w:b/>
          <w:bCs/>
        </w:rPr>
        <w:t xml:space="preserve">clear infrastructure-data separation</w:t>
      </w:r>
      <w:r>
        <w:t xml:space="preserve"> </w:t>
      </w:r>
      <w:r>
        <w:t xml:space="preserve">critical for multi-tenant agent deployments.</w:t>
      </w:r>
    </w:p>
    <w:bookmarkEnd w:id="47"/>
    <w:bookmarkStart w:id="49" w:name="audit-and-compliance"/>
    <w:p>
      <w:pPr>
        <w:pStyle w:val="4"/>
      </w:pPr>
      <w:r>
        <w:t xml:space="preserve">2.3.3 Audit and Compliance</w:t>
      </w:r>
    </w:p>
    <w:p>
      <w:pPr>
        <w:pStyle w:val="FirstParagraph"/>
      </w:pPr>
      <w:r>
        <w:t xml:space="preserve">The</w:t>
      </w:r>
      <w:r>
        <w:t xml:space="preserve"> </w:t>
      </w:r>
      <w:r>
        <w:rPr>
          <w:b/>
          <w:bCs/>
        </w:rPr>
        <w:t xml:space="preserve">unified audit framework</w:t>
      </w:r>
      <w:r>
        <w:t xml:space="preserve"> </w:t>
      </w:r>
      <w:r>
        <w:t xml:space="preserve">provides</w:t>
      </w:r>
      <w:r>
        <w:t xml:space="preserve"> </w:t>
      </w:r>
      <w:r>
        <w:rPr>
          <w:b/>
          <w:bCs/>
        </w:rPr>
        <w:t xml:space="preserve">tamper-proof logging</w:t>
      </w:r>
      <w:r>
        <w:t xml:space="preserve"> </w:t>
      </w:r>
      <w:r>
        <w:t xml:space="preserve">with cryptographic chaining that detects any modification attempt. Integration with</w:t>
      </w:r>
      <w:r>
        <w:t xml:space="preserve"> </w:t>
      </w:r>
      <w:r>
        <w:rPr>
          <w:b/>
          <w:bCs/>
        </w:rPr>
        <w:t xml:space="preserve">DBMind AI anomaly detection</w:t>
      </w:r>
      <w:r>
        <w:t xml:space="preserve"> </w:t>
      </w:r>
      <w:r>
        <w:t xml:space="preserve">enables real-time identification of unusual access patterns, transforming audit from retrospective compliance demonstration to proactive threat detection</w:t>
      </w:r>
      <w:r>
        <w:t xml:space="preserve"> </w:t>
      </w:r>
      <w:hyperlink r:id="rId24">
        <w:r>
          <w:rPr>
            <w:rStyle w:val="af"/>
          </w:rPr>
          <w:t xml:space="preserve">(opengauss.org)</w:t>
        </w:r>
      </w:hyperlink>
      <w:r>
        <w:t xml:space="preserve"> </w:t>
      </w:r>
      <w:r>
        <w:t xml:space="preserve">.</w:t>
      </w:r>
    </w:p>
    <w:p>
      <w:pPr>
        <w:pStyle w:val="a0"/>
      </w:pPr>
      <w:r>
        <w:t xml:space="preserve">Production validation in</w:t>
      </w:r>
      <w:r>
        <w:t xml:space="preserve"> </w:t>
      </w:r>
      <w:r>
        <w:rPr>
          <w:b/>
          <w:bCs/>
        </w:rPr>
        <w:t xml:space="preserve">Chinese financial infrastructure</w:t>
      </w:r>
      <w:r>
        <w:t xml:space="preserve">—including ICBC’s migration of</w:t>
      </w:r>
      <w:r>
        <w:t xml:space="preserve"> </w:t>
      </w:r>
      <w:r>
        <w:rPr>
          <w:b/>
          <w:bCs/>
        </w:rPr>
        <w:t xml:space="preserve">200 Oracle services to GaussDB</w:t>
      </w:r>
      <w:r>
        <w:t xml:space="preserve"> </w:t>
      </w:r>
      <w:hyperlink r:id="rId48">
        <w:r>
          <w:rPr>
            <w:rStyle w:val="af"/>
          </w:rPr>
          <w:t xml:space="preserve">(Source)</w:t>
        </w:r>
      </w:hyperlink>
      <w:r>
        <w:t xml:space="preserve"> </w:t>
      </w:r>
      <w:r>
        <w:t xml:space="preserve">—demonstrates security adequacy for systemically important institutions. While specific certification details require verification for particular compliance frameworks, this operational history provides substantive evidence of enterprise security capability.</w:t>
      </w:r>
    </w:p>
    <w:bookmarkEnd w:id="49"/>
    <w:bookmarkEnd w:id="50"/>
    <w:bookmarkStart w:id="56" w:name="ai-native-database-operations-dbmind"/>
    <w:p>
      <w:pPr>
        <w:pStyle w:val="3"/>
      </w:pPr>
      <w:r>
        <w:t xml:space="preserve">2.4 AI-Native Database Operations (DBMind)</w:t>
      </w:r>
    </w:p>
    <w:bookmarkStart w:id="52" w:name="autonomous-tuning"/>
    <w:p>
      <w:pPr>
        <w:pStyle w:val="4"/>
      </w:pPr>
      <w:r>
        <w:t xml:space="preserve">2.4.1 Autonomous Tuning</w:t>
      </w:r>
    </w:p>
    <w:p>
      <w:pPr>
        <w:pStyle w:val="FirstParagraph"/>
      </w:pPr>
      <w:r>
        <w:t xml:space="preserve">DBMind transforms database operations from</w:t>
      </w:r>
      <w:r>
        <w:t xml:space="preserve"> </w:t>
      </w:r>
      <w:r>
        <w:rPr>
          <w:b/>
          <w:bCs/>
        </w:rPr>
        <w:t xml:space="preserve">reactive administration to autonomous optimization</w:t>
      </w:r>
      <w:r>
        <w:t xml:space="preserve">:</w:t>
      </w:r>
    </w:p>
    <w:tbl>
      <w:tblPr>
        <w:tblStyle w:val="Table"/>
        <w:tblW w:type="pct" w:w="5000"/>
        <w:jc w:val="left"/>
        <w:tblLayout w:type="fixed"/>
        <w:tblLook w:firstRow="1" w:lastRow="0" w:firstColumn="0" w:lastColumn="0" w:noHBand="0" w:noVBand="0" w:val="0020"/>
      </w:tblPr>
      <w:tblGrid>
        <w:gridCol w:w="2074"/>
        <w:gridCol w:w="1885"/>
        <w:gridCol w:w="3960"/>
      </w:tblGrid>
      <w:tr>
        <w:trPr>
          <w:tblHeader w:val="on"/>
        </w:trPr>
        <w:tc>
          <w:tcPr/>
          <w:p>
            <w:pPr>
              <w:pStyle w:val="Compact"/>
              <w:jc w:val="left"/>
            </w:pPr>
            <w:r>
              <w:t xml:space="preserve">Capability</w:t>
            </w:r>
          </w:p>
        </w:tc>
        <w:tc>
          <w:tcPr/>
          <w:p>
            <w:pPr>
              <w:pStyle w:val="Compact"/>
              <w:jc w:val="left"/>
            </w:pPr>
            <w:r>
              <w:t xml:space="preserve">Function</w:t>
            </w:r>
          </w:p>
        </w:tc>
        <w:tc>
          <w:tcPr/>
          <w:p>
            <w:pPr>
              <w:pStyle w:val="Compact"/>
              <w:jc w:val="left"/>
            </w:pPr>
            <w:r>
              <w:t xml:space="preserve">Operational Benefit</w:t>
            </w:r>
          </w:p>
        </w:tc>
      </w:tr>
      <w:tr>
        <w:tc>
          <w:tcPr/>
          <w:p>
            <w:pPr>
              <w:pStyle w:val="Compact"/>
              <w:jc w:val="left"/>
            </w:pPr>
            <w:r>
              <w:rPr>
                <w:b/>
                <w:bCs/>
              </w:rPr>
              <w:t xml:space="preserve">Automatic parameter optimization</w:t>
            </w:r>
          </w:p>
        </w:tc>
        <w:tc>
          <w:tcPr/>
          <w:p>
            <w:pPr>
              <w:pStyle w:val="Compact"/>
              <w:jc w:val="left"/>
            </w:pPr>
            <w:r>
              <w:t xml:space="preserve">Workload-driven configuration adjustment</w:t>
            </w:r>
          </w:p>
        </w:tc>
        <w:tc>
          <w:tcPr/>
          <w:p>
            <w:pPr>
              <w:pStyle w:val="Compact"/>
              <w:jc w:val="left"/>
            </w:pPr>
            <w:r>
              <w:t xml:space="preserve">Eliminates manual tuning for changing patterns</w:t>
            </w:r>
          </w:p>
        </w:tc>
      </w:tr>
      <w:tr>
        <w:tc>
          <w:tcPr/>
          <w:p>
            <w:pPr>
              <w:pStyle w:val="Compact"/>
              <w:jc w:val="left"/>
            </w:pPr>
            <w:r>
              <w:rPr>
                <w:b/>
                <w:bCs/>
              </w:rPr>
              <w:t xml:space="preserve">Slow SQL diagnosis</w:t>
            </w:r>
          </w:p>
        </w:tc>
        <w:tc>
          <w:tcPr/>
          <w:p>
            <w:pPr>
              <w:pStyle w:val="Compact"/>
              <w:jc w:val="left"/>
            </w:pPr>
            <w:r>
              <w:t xml:space="preserve">Root cause analysis with remediation guidance</w:t>
            </w:r>
          </w:p>
        </w:tc>
        <w:tc>
          <w:tcPr/>
          <w:p>
            <w:pPr>
              <w:pStyle w:val="Compact"/>
              <w:jc w:val="left"/>
            </w:pPr>
            <w:r>
              <w:t xml:space="preserve">Accelerates problem resolution</w:t>
            </w:r>
          </w:p>
        </w:tc>
      </w:tr>
      <w:tr>
        <w:tc>
          <w:tcPr/>
          <w:p>
            <w:pPr>
              <w:pStyle w:val="Compact"/>
              <w:jc w:val="left"/>
            </w:pPr>
            <w:r>
              <w:rPr>
                <w:b/>
                <w:bCs/>
              </w:rPr>
              <w:t xml:space="preserve">Predictive performance analysis</w:t>
            </w:r>
          </w:p>
        </w:tc>
        <w:tc>
          <w:tcPr/>
          <w:p>
            <w:pPr>
              <w:pStyle w:val="Compact"/>
              <w:jc w:val="left"/>
            </w:pPr>
            <w:r>
              <w:t xml:space="preserve">Forecasting resource exhaustion</w:t>
            </w:r>
          </w:p>
        </w:tc>
        <w:tc>
          <w:tcPr/>
          <w:p>
            <w:pPr>
              <w:pStyle w:val="Compact"/>
              <w:jc w:val="left"/>
            </w:pPr>
            <w:r>
              <w:t xml:space="preserve">Enables proactive capacity management</w:t>
            </w:r>
            <w:r>
              <w:t xml:space="preserve"> </w:t>
            </w:r>
            <w:hyperlink r:id="rId20">
              <w:r>
                <w:rPr>
                  <w:rStyle w:val="af"/>
                </w:rPr>
                <w:t xml:space="preserve">(opengauss.org)</w:t>
              </w:r>
            </w:hyperlink>
          </w:p>
        </w:tc>
      </w:tr>
    </w:tbl>
    <w:p>
      <w:pPr>
        <w:pStyle w:val="a0"/>
      </w:pPr>
      <w:r>
        <w:t xml:space="preserve">Documented results from financial system deployment include</w:t>
      </w:r>
      <w:r>
        <w:t xml:space="preserve"> </w:t>
      </w:r>
      <w:r>
        <w:rPr>
          <w:b/>
          <w:bCs/>
        </w:rPr>
        <w:t xml:space="preserve">80% reduction in manual tuning effort</w:t>
      </w:r>
      <w:r>
        <w:t xml:space="preserve"> </w:t>
      </w:r>
      <w:r>
        <w:t xml:space="preserve">and</w:t>
      </w:r>
      <w:r>
        <w:t xml:space="preserve"> </w:t>
      </w:r>
      <w:r>
        <w:rPr>
          <w:b/>
          <w:bCs/>
        </w:rPr>
        <w:t xml:space="preserve">average 300% query acceleration ratio</w:t>
      </w:r>
      <w:r>
        <w:t xml:space="preserve"> </w:t>
      </w:r>
      <w:r>
        <w:t xml:space="preserve">from AI optimization</w:t>
      </w:r>
      <w:r>
        <w:t xml:space="preserve"> </w:t>
      </w:r>
      <w:hyperlink r:id="rId51">
        <w:r>
          <w:rPr>
            <w:rStyle w:val="af"/>
          </w:rPr>
          <w:t xml:space="preserve">(CSDN博客)</w:t>
        </w:r>
      </w:hyperlink>
      <w:r>
        <w:t xml:space="preserve"> </w:t>
      </w:r>
      <w:r>
        <w:t xml:space="preserve">. These improvements reflect not merely incremental enhancement but</w:t>
      </w:r>
      <w:r>
        <w:t xml:space="preserve"> </w:t>
      </w:r>
      <w:r>
        <w:rPr>
          <w:b/>
          <w:bCs/>
        </w:rPr>
        <w:t xml:space="preserve">fundamental operational transformation</w:t>
      </w:r>
      <w:r>
        <w:t xml:space="preserve">—the database becomes self-optimizing rather than requiring continuous expert attention.</w:t>
      </w:r>
    </w:p>
    <w:bookmarkEnd w:id="52"/>
    <w:bookmarkStart w:id="54" w:name="intelligent-diagnostics"/>
    <w:p>
      <w:pPr>
        <w:pStyle w:val="4"/>
      </w:pPr>
      <w:r>
        <w:t xml:space="preserve">2.4.2 Intelligent Diagnostics</w:t>
      </w:r>
    </w:p>
    <w:tbl>
      <w:tblPr>
        <w:tblStyle w:val="Table"/>
        <w:tblW w:type="pct" w:w="5000"/>
        <w:jc w:val="left"/>
        <w:tblLayout w:type="fixed"/>
        <w:tblLook w:firstRow="1" w:lastRow="0" w:firstColumn="0" w:lastColumn="0" w:noHBand="0" w:noVBand="0" w:val="0020"/>
      </w:tblPr>
      <w:tblGrid>
        <w:gridCol w:w="2904"/>
        <w:gridCol w:w="3168"/>
        <w:gridCol w:w="1848"/>
      </w:tblGrid>
      <w:tr>
        <w:trPr>
          <w:tblHeader w:val="on"/>
        </w:trPr>
        <w:tc>
          <w:tcPr/>
          <w:p>
            <w:pPr>
              <w:pStyle w:val="Compact"/>
              <w:jc w:val="left"/>
            </w:pPr>
            <w:r>
              <w:t xml:space="preserve">Diagnostic Capability</w:t>
            </w:r>
          </w:p>
        </w:tc>
        <w:tc>
          <w:tcPr/>
          <w:p>
            <w:pPr>
              <w:pStyle w:val="Compact"/>
              <w:jc w:val="left"/>
            </w:pPr>
            <w:r>
              <w:t xml:space="preserve">Technical Implementation</w:t>
            </w:r>
          </w:p>
        </w:tc>
        <w:tc>
          <w:tcPr/>
          <w:p>
            <w:pPr>
              <w:pStyle w:val="Compact"/>
              <w:jc w:val="left"/>
            </w:pPr>
            <w:r>
              <w:t xml:space="preserve">Business Value</w:t>
            </w:r>
          </w:p>
        </w:tc>
      </w:tr>
      <w:tr>
        <w:tc>
          <w:tcPr/>
          <w:p>
            <w:pPr>
              <w:pStyle w:val="Compact"/>
              <w:jc w:val="left"/>
            </w:pPr>
            <w:r>
              <w:rPr>
                <w:b/>
                <w:bCs/>
              </w:rPr>
              <w:t xml:space="preserve">Time-series prediction</w:t>
            </w:r>
          </w:p>
        </w:tc>
        <w:tc>
          <w:tcPr/>
          <w:p>
            <w:pPr>
              <w:pStyle w:val="Compact"/>
              <w:jc w:val="left"/>
            </w:pPr>
            <w:r>
              <w:t xml:space="preserve">Deep learning models on historical metrics</w:t>
            </w:r>
          </w:p>
        </w:tc>
        <w:tc>
          <w:tcPr/>
          <w:p>
            <w:pPr>
              <w:pStyle w:val="Compact"/>
              <w:jc w:val="left"/>
            </w:pPr>
            <w:r>
              <w:t xml:space="preserve">Data-driven capacity planning</w:t>
            </w:r>
          </w:p>
        </w:tc>
      </w:tr>
      <w:tr>
        <w:tc>
          <w:tcPr/>
          <w:p>
            <w:pPr>
              <w:pStyle w:val="Compact"/>
              <w:jc w:val="left"/>
            </w:pPr>
            <w:r>
              <w:rPr>
                <w:b/>
                <w:bCs/>
              </w:rPr>
              <w:t xml:space="preserve">Anomaly detection</w:t>
            </w:r>
          </w:p>
        </w:tc>
        <w:tc>
          <w:tcPr/>
          <w:p>
            <w:pPr>
              <w:pStyle w:val="Compact"/>
              <w:jc w:val="left"/>
            </w:pPr>
            <w:r>
              <w:t xml:space="preserve">ML-based baseline deviation identification</w:t>
            </w:r>
          </w:p>
        </w:tc>
        <w:tc>
          <w:tcPr/>
          <w:p>
            <w:pPr>
              <w:pStyle w:val="Compact"/>
              <w:jc w:val="left"/>
            </w:pPr>
            <w:r>
              <w:t xml:space="preserve">Early warning of emerging issues</w:t>
            </w:r>
          </w:p>
        </w:tc>
      </w:tr>
      <w:tr>
        <w:tc>
          <w:tcPr/>
          <w:p>
            <w:pPr>
              <w:pStyle w:val="Compact"/>
              <w:jc w:val="left"/>
            </w:pPr>
            <w:r>
              <w:rPr>
                <w:b/>
                <w:bCs/>
              </w:rPr>
              <w:t xml:space="preserve">SQL execution prediction</w:t>
            </w:r>
          </w:p>
        </w:tc>
        <w:tc>
          <w:tcPr/>
          <w:p>
            <w:pPr>
              <w:pStyle w:val="Compact"/>
              <w:jc w:val="left"/>
            </w:pPr>
            <w:r>
              <w:t xml:space="preserve">Pre-execution duration estimation</w:t>
            </w:r>
          </w:p>
        </w:tc>
        <w:tc>
          <w:tcPr/>
          <w:p>
            <w:pPr>
              <w:pStyle w:val="Compact"/>
              <w:jc w:val="left"/>
            </w:pPr>
            <w:r>
              <w:t xml:space="preserve">Intelligent resource scheduling</w:t>
            </w:r>
            <w:r>
              <w:t xml:space="preserve"> </w:t>
            </w:r>
            <w:hyperlink r:id="rId20">
              <w:r>
                <w:rPr>
                  <w:rStyle w:val="af"/>
                </w:rPr>
                <w:t xml:space="preserve">(opengauss.org)</w:t>
              </w:r>
            </w:hyperlink>
          </w:p>
        </w:tc>
      </w:tr>
    </w:tbl>
    <w:p>
      <w:pPr>
        <w:pStyle w:val="a0"/>
      </w:pPr>
      <w:r>
        <w:t xml:space="preserve">The</w:t>
      </w:r>
      <w:r>
        <w:t xml:space="preserve"> </w:t>
      </w:r>
      <w:r>
        <w:rPr>
          <w:b/>
          <w:bCs/>
        </w:rPr>
        <w:t xml:space="preserve">self-configuration capability</w:t>
      </w:r>
      <w:r>
        <w:t xml:space="preserve"> </w:t>
      </w:r>
      <w:r>
        <w:t xml:space="preserve">of exception detection allows adaptation to specific application environments, with users able to add, pause, or delete detection items based on operational requirements</w:t>
      </w:r>
      <w:r>
        <w:t xml:space="preserve"> </w:t>
      </w:r>
      <w:hyperlink r:id="rId53">
        <w:r>
          <w:rPr>
            <w:rStyle w:val="af"/>
          </w:rPr>
          <w:t xml:space="preserve">(opengauss.org)</w:t>
        </w:r>
      </w:hyperlink>
      <w:r>
        <w:t xml:space="preserve"> </w:t>
      </w:r>
      <w:r>
        <w:t xml:space="preserve">. This flexibility ensures that monitoring relevance is maintained as agent behaviors evolve.</w:t>
      </w:r>
    </w:p>
    <w:bookmarkEnd w:id="54"/>
    <w:bookmarkStart w:id="55" w:name="index-and-query-optimization"/>
    <w:p>
      <w:pPr>
        <w:pStyle w:val="4"/>
      </w:pPr>
      <w:r>
        <w:t xml:space="preserve">2.4.3 Index and Query Optimization</w:t>
      </w:r>
    </w:p>
    <w:tbl>
      <w:tblPr>
        <w:tblStyle w:val="Table"/>
        <w:tblW w:type="pct" w:w="5000"/>
        <w:jc w:val="left"/>
        <w:tblLayout w:type="fixed"/>
        <w:tblLook w:firstRow="1" w:lastRow="0" w:firstColumn="0" w:lastColumn="0" w:noHBand="0" w:noVBand="0" w:val="0020"/>
      </w:tblPr>
      <w:tblGrid>
        <w:gridCol w:w="3198"/>
        <w:gridCol w:w="1980"/>
        <w:gridCol w:w="2741"/>
      </w:tblGrid>
      <w:tr>
        <w:trPr>
          <w:tblHeader w:val="on"/>
        </w:trPr>
        <w:tc>
          <w:tcPr/>
          <w:p>
            <w:pPr>
              <w:pStyle w:val="Compact"/>
              <w:jc w:val="left"/>
            </w:pPr>
            <w:r>
              <w:t xml:space="preserve">Optimization Feature</w:t>
            </w:r>
          </w:p>
        </w:tc>
        <w:tc>
          <w:tcPr/>
          <w:p>
            <w:pPr>
              <w:pStyle w:val="Compact"/>
              <w:jc w:val="left"/>
            </w:pPr>
            <w:r>
              <w:t xml:space="preserve">Methodology</w:t>
            </w:r>
          </w:p>
        </w:tc>
        <w:tc>
          <w:tcPr/>
          <w:p>
            <w:pPr>
              <w:pStyle w:val="Compact"/>
              <w:jc w:val="left"/>
            </w:pPr>
            <w:r>
              <w:t xml:space="preserve">Performance Impact</w:t>
            </w:r>
          </w:p>
        </w:tc>
      </w:tr>
      <w:tr>
        <w:tc>
          <w:tcPr/>
          <w:p>
            <w:pPr>
              <w:pStyle w:val="Compact"/>
              <w:jc w:val="left"/>
            </w:pPr>
            <w:r>
              <w:rPr>
                <w:b/>
                <w:bCs/>
              </w:rPr>
              <w:t xml:space="preserve">Automated index recommendation</w:t>
            </w:r>
          </w:p>
        </w:tc>
        <w:tc>
          <w:tcPr/>
          <w:p>
            <w:pPr>
              <w:pStyle w:val="Compact"/>
              <w:jc w:val="left"/>
            </w:pPr>
            <w:r>
              <w:t xml:space="preserve">Deep reinforcement learning with benefit estimation</w:t>
            </w:r>
          </w:p>
        </w:tc>
        <w:tc>
          <w:tcPr/>
          <w:p>
            <w:pPr>
              <w:pStyle w:val="Compact"/>
              <w:jc w:val="left"/>
            </w:pPr>
            <w:r>
              <w:t xml:space="preserve">Outperforms DBA-tuned configurations</w:t>
            </w:r>
          </w:p>
        </w:tc>
      </w:tr>
      <w:tr>
        <w:tc>
          <w:tcPr/>
          <w:p>
            <w:pPr>
              <w:pStyle w:val="Compact"/>
              <w:jc w:val="left"/>
            </w:pPr>
            <w:r>
              <w:rPr>
                <w:b/>
                <w:bCs/>
              </w:rPr>
              <w:t xml:space="preserve">Multi-column index advisor</w:t>
            </w:r>
          </w:p>
        </w:tc>
        <w:tc>
          <w:tcPr/>
          <w:p>
            <w:pPr>
              <w:pStyle w:val="Compact"/>
              <w:jc w:val="left"/>
            </w:pPr>
            <w:r>
              <w:t xml:space="preserve">Workload-aware column ordering optimization</w:t>
            </w:r>
          </w:p>
        </w:tc>
        <w:tc>
          <w:tcPr/>
          <w:p>
            <w:pPr>
              <w:pStyle w:val="Compact"/>
              <w:jc w:val="left"/>
            </w:pPr>
            <w:r>
              <w:t xml:space="preserve">Addresses complex query patterns</w:t>
            </w:r>
          </w:p>
        </w:tc>
      </w:tr>
      <w:tr>
        <w:tc>
          <w:tcPr/>
          <w:p>
            <w:pPr>
              <w:pStyle w:val="Compact"/>
              <w:jc w:val="left"/>
            </w:pPr>
            <w:r>
              <w:rPr>
                <w:b/>
                <w:bCs/>
              </w:rPr>
              <w:t xml:space="preserve">Query rewrite suggestions</w:t>
            </w:r>
          </w:p>
        </w:tc>
        <w:tc>
          <w:tcPr/>
          <w:p>
            <w:pPr>
              <w:pStyle w:val="Compact"/>
              <w:jc w:val="left"/>
            </w:pPr>
            <w:r>
              <w:t xml:space="preserve">Semantic-preserving transformation identification</w:t>
            </w:r>
          </w:p>
        </w:tc>
        <w:tc>
          <w:tcPr/>
          <w:p>
            <w:pPr>
              <w:pStyle w:val="Compact"/>
              <w:jc w:val="left"/>
            </w:pPr>
            <w:r>
              <w:t xml:space="preserve">49.7% TPC-H, 36.8% JOB improvement</w:t>
            </w:r>
            <w:r>
              <w:t xml:space="preserve"> </w:t>
            </w:r>
            <w:hyperlink r:id="rId20">
              <w:r>
                <w:rPr>
                  <w:rStyle w:val="af"/>
                </w:rPr>
                <w:t xml:space="preserve">(opengauss.org)</w:t>
              </w:r>
            </w:hyperlink>
          </w:p>
        </w:tc>
      </w:tr>
    </w:tbl>
    <w:p>
      <w:pPr>
        <w:pStyle w:val="a0"/>
      </w:pPr>
      <w:r>
        <w:t xml:space="preserve">The</w:t>
      </w:r>
      <w:r>
        <w:t xml:space="preserve"> </w:t>
      </w:r>
      <w:r>
        <w:rPr>
          <w:b/>
          <w:bCs/>
        </w:rPr>
        <w:t xml:space="preserve">virtual index evaluation</w:t>
      </w:r>
      <w:r>
        <w:t xml:space="preserve"> </w:t>
      </w:r>
      <w:r>
        <w:t xml:space="preserve">capability enables risk-free assessment of recommended indexes before physical creation, preventing the performance degradation and storage waste from counterproductive index proliferation.</w:t>
      </w:r>
    </w:p>
    <w:bookmarkEnd w:id="55"/>
    <w:bookmarkEnd w:id="56"/>
    <w:bookmarkEnd w:id="57"/>
    <w:bookmarkStart w:id="68" w:name="business-benefits-and-value-proposition"/>
    <w:p>
      <w:pPr>
        <w:pStyle w:val="2"/>
      </w:pPr>
      <w:r>
        <w:t xml:space="preserve">3. Business Benefits and Value Proposition</w:t>
      </w:r>
    </w:p>
    <w:bookmarkStart w:id="63" w:name="cost-structure-advantages"/>
    <w:p>
      <w:pPr>
        <w:pStyle w:val="3"/>
      </w:pPr>
      <w:r>
        <w:t xml:space="preserve">3.1 Cost Structure Advantages</w:t>
      </w:r>
    </w:p>
    <w:bookmarkStart w:id="59" w:name="licensing-economics"/>
    <w:p>
      <w:pPr>
        <w:pStyle w:val="4"/>
      </w:pPr>
      <w:r>
        <w:t xml:space="preserve">3.1.1 Licensing Economics</w:t>
      </w:r>
    </w:p>
    <w:p>
      <w:pPr>
        <w:pStyle w:val="FirstParagraph"/>
      </w:pPr>
      <w:r>
        <w:t xml:space="preserve">The</w:t>
      </w:r>
      <w:r>
        <w:t xml:space="preserve"> </w:t>
      </w:r>
      <w:r>
        <w:rPr>
          <w:b/>
          <w:bCs/>
        </w:rPr>
        <w:t xml:space="preserve">MulanPSL v2 license eliminates software licensing costs entirely</w:t>
      </w:r>
      <w:r>
        <w:t xml:space="preserve">, creating immediate and substantial savings compared to commercial alternatives:</w:t>
      </w:r>
    </w:p>
    <w:tbl>
      <w:tblPr>
        <w:tblStyle w:val="Table"/>
        <w:tblW w:type="pct" w:w="5000"/>
        <w:jc w:val="left"/>
        <w:tblLayout w:type="fixed"/>
        <w:tblLook w:firstRow="1" w:lastRow="0" w:firstColumn="0" w:lastColumn="0" w:noHBand="0" w:noVBand="0" w:val="0020"/>
      </w:tblPr>
      <w:tblGrid>
        <w:gridCol w:w="1182"/>
        <w:gridCol w:w="1773"/>
        <w:gridCol w:w="2837"/>
        <w:gridCol w:w="2127"/>
      </w:tblGrid>
      <w:tr>
        <w:trPr>
          <w:tblHeader w:val="on"/>
        </w:trPr>
        <w:tc>
          <w:tcPr/>
          <w:p>
            <w:pPr>
              <w:pStyle w:val="Compact"/>
              <w:jc w:val="left"/>
            </w:pPr>
            <w:r>
              <w:t xml:space="preserve">Database</w:t>
            </w:r>
          </w:p>
        </w:tc>
        <w:tc>
          <w:tcPr/>
          <w:p>
            <w:pPr>
              <w:pStyle w:val="Compact"/>
              <w:jc w:val="left"/>
            </w:pPr>
            <w:r>
              <w:t xml:space="preserve">Licensing Model</w:t>
            </w:r>
          </w:p>
        </w:tc>
        <w:tc>
          <w:tcPr/>
          <w:p>
            <w:pPr>
              <w:pStyle w:val="Compact"/>
              <w:jc w:val="left"/>
            </w:pPr>
            <w:r>
              <w:t xml:space="preserve">32-Core First-Year Cost</w:t>
            </w:r>
          </w:p>
        </w:tc>
        <w:tc>
          <w:tcPr/>
          <w:p>
            <w:pPr>
              <w:pStyle w:val="Compact"/>
              <w:jc w:val="left"/>
            </w:pPr>
            <w:r>
              <w:t xml:space="preserve">Annual Recurring</w:t>
            </w:r>
          </w:p>
        </w:tc>
      </w:tr>
      <w:tr>
        <w:tc>
          <w:tcPr/>
          <w:p>
            <w:pPr>
              <w:pStyle w:val="Compact"/>
              <w:jc w:val="left"/>
            </w:pPr>
            <w:r>
              <w:rPr>
                <w:b/>
                <w:bCs/>
              </w:rPr>
              <w:t xml:space="preserve">Oracle Enterprise Edition</w:t>
            </w:r>
          </w:p>
        </w:tc>
        <w:tc>
          <w:tcPr/>
          <w:p>
            <w:pPr>
              <w:pStyle w:val="Compact"/>
              <w:jc w:val="left"/>
            </w:pPr>
            <w:r>
              <w:t xml:space="preserve">$47,500/core + $23,000 RAC option</w:t>
            </w:r>
          </w:p>
        </w:tc>
        <w:tc>
          <w:tcPr/>
          <w:p>
            <w:pPr>
              <w:pStyle w:val="Compact"/>
              <w:jc w:val="left"/>
            </w:pPr>
            <w:r>
              <w:rPr>
                <w:b/>
                <w:bCs/>
              </w:rPr>
              <w:t xml:space="preserve">$2,256,000</w:t>
            </w:r>
            <w:r>
              <w:t xml:space="preserve"> </w:t>
            </w:r>
            <w:r>
              <w:t xml:space="preserve">list, ~$1,128,000 discounted</w:t>
            </w:r>
          </w:p>
        </w:tc>
        <w:tc>
          <w:tcPr/>
          <w:p>
            <w:pPr>
              <w:pStyle w:val="Compact"/>
              <w:jc w:val="left"/>
            </w:pPr>
            <w:r>
              <w:t xml:space="preserve">$248,160 maintenance (22%)</w:t>
            </w:r>
          </w:p>
        </w:tc>
      </w:tr>
      <w:tr>
        <w:tc>
          <w:tcPr/>
          <w:p>
            <w:pPr>
              <w:pStyle w:val="Compact"/>
              <w:jc w:val="left"/>
            </w:pPr>
            <w:r>
              <w:rPr>
                <w:b/>
                <w:bCs/>
              </w:rPr>
              <w:t xml:space="preserve">MySQL Enterprise Edition</w:t>
            </w:r>
          </w:p>
        </w:tc>
        <w:tc>
          <w:tcPr/>
          <w:p>
            <w:pPr>
              <w:pStyle w:val="Compact"/>
              <w:jc w:val="left"/>
            </w:pPr>
            <w:r>
              <w:t xml:space="preserve">Per-server subscription</w:t>
            </w:r>
          </w:p>
        </w:tc>
        <w:tc>
          <w:tcPr/>
          <w:p>
            <w:pPr>
              <w:pStyle w:val="Compact"/>
              <w:jc w:val="left"/>
            </w:pPr>
            <w:r>
              <w:t xml:space="preserve">Variable by deployment</w:t>
            </w:r>
          </w:p>
        </w:tc>
        <w:tc>
          <w:tcPr/>
          <w:p>
            <w:pPr>
              <w:pStyle w:val="Compact"/>
              <w:jc w:val="left"/>
            </w:pPr>
            <w:r>
              <w:t xml:space="preserve">Significant subscription</w:t>
            </w:r>
          </w:p>
        </w:tc>
      </w:tr>
      <w:tr>
        <w:tc>
          <w:tcPr/>
          <w:p>
            <w:pPr>
              <w:pStyle w:val="Compact"/>
              <w:jc w:val="left"/>
            </w:pPr>
            <w:r>
              <w:rPr>
                <w:b/>
                <w:bCs/>
              </w:rPr>
              <w:t xml:space="preserve">OpenGauss</w:t>
            </w:r>
          </w:p>
        </w:tc>
        <w:tc>
          <w:tcPr/>
          <w:p>
            <w:pPr>
              <w:pStyle w:val="Compact"/>
              <w:jc w:val="left"/>
            </w:pPr>
            <w:r>
              <w:rPr>
                <w:b/>
                <w:bCs/>
              </w:rPr>
              <w:t xml:space="preserve">MulanPSL v2: $0</w:t>
            </w:r>
          </w:p>
        </w:tc>
        <w:tc>
          <w:tcPr/>
          <w:p>
            <w:pPr>
              <w:pStyle w:val="Compact"/>
              <w:jc w:val="left"/>
            </w:pPr>
            <w:r>
              <w:rPr>
                <w:b/>
                <w:bCs/>
              </w:rPr>
              <w:t xml:space="preserve">$0</w:t>
            </w:r>
          </w:p>
        </w:tc>
        <w:tc>
          <w:tcPr/>
          <w:p>
            <w:pPr>
              <w:pStyle w:val="Compact"/>
              <w:jc w:val="left"/>
            </w:pPr>
            <w:r>
              <w:rPr>
                <w:b/>
                <w:bCs/>
              </w:rPr>
              <w:t xml:space="preserve">Community: $0 / Commercial: 40-60% below Oracle</w:t>
            </w:r>
            <w:r>
              <w:t xml:space="preserve"> </w:t>
            </w:r>
            <w:hyperlink r:id="rId58">
              <w:r>
                <w:rPr>
                  <w:rStyle w:val="af"/>
                </w:rPr>
                <w:t xml:space="preserve">(connectedsocialmedia.com)</w:t>
              </w:r>
            </w:hyperlink>
            <w:r>
              <w:t xml:space="preserve"> </w:t>
            </w:r>
            <w:r>
              <w:t xml:space="preserve">,</w:t>
            </w:r>
            <w:r>
              <w:t xml:space="preserve"> </w:t>
            </w:r>
            <w:hyperlink r:id="rId20">
              <w:r>
                <w:rPr>
                  <w:rStyle w:val="af"/>
                </w:rPr>
                <w:t xml:space="preserve">(opengauss.org)</w:t>
              </w:r>
            </w:hyperlink>
          </w:p>
        </w:tc>
      </w:tr>
    </w:tbl>
    <w:p>
      <w:pPr>
        <w:pStyle w:val="a0"/>
      </w:pPr>
      <w:r>
        <w:t xml:space="preserve">The</w:t>
      </w:r>
      <w:r>
        <w:t xml:space="preserve"> </w:t>
      </w:r>
      <w:r>
        <w:rPr>
          <w:b/>
          <w:bCs/>
        </w:rPr>
        <w:t xml:space="preserve">elimination of vendor audit risk</w:t>
      </w:r>
      <w:r>
        <w:t xml:space="preserve">—a substantial hidden cost of proprietary licensing—further improves economic attractiveness. Organizations using OpenGauss need not maintain license inventory, track usage metrics for compliance, or concern themselves with audit processes that create administrative burden and unexpected cost exposure.</w:t>
      </w:r>
    </w:p>
    <w:bookmarkEnd w:id="59"/>
    <w:bookmarkStart w:id="60" w:name="operational-expenditure-reduction"/>
    <w:p>
      <w:pPr>
        <w:pStyle w:val="4"/>
      </w:pPr>
      <w:r>
        <w:t xml:space="preserve">3.1.2 Operational Expenditure Reduction</w:t>
      </w:r>
    </w:p>
    <w:tbl>
      <w:tblPr>
        <w:tblStyle w:val="Table"/>
        <w:tblW w:type="pct" w:w="5000"/>
        <w:jc w:val="left"/>
        <w:tblLayout w:type="fixed"/>
        <w:tblLook w:firstRow="1" w:lastRow="0" w:firstColumn="0" w:lastColumn="0" w:noHBand="0" w:noVBand="0" w:val="0020"/>
      </w:tblPr>
      <w:tblGrid>
        <w:gridCol w:w="1817"/>
        <w:gridCol w:w="1428"/>
        <w:gridCol w:w="908"/>
        <w:gridCol w:w="1038"/>
        <w:gridCol w:w="2726"/>
      </w:tblGrid>
      <w:tr>
        <w:trPr>
          <w:tblHeader w:val="on"/>
        </w:trPr>
        <w:tc>
          <w:tcPr/>
          <w:p>
            <w:pPr>
              <w:pStyle w:val="Compact"/>
              <w:jc w:val="left"/>
            </w:pPr>
            <w:r>
              <w:t xml:space="preserve">Cost Category</w:t>
            </w:r>
          </w:p>
        </w:tc>
        <w:tc>
          <w:tcPr/>
          <w:p>
            <w:pPr>
              <w:pStyle w:val="Compact"/>
              <w:jc w:val="left"/>
            </w:pPr>
            <w:r>
              <w:t xml:space="preserve">OpenGauss</w:t>
            </w:r>
          </w:p>
        </w:tc>
        <w:tc>
          <w:tcPr/>
          <w:p>
            <w:pPr>
              <w:pStyle w:val="Compact"/>
              <w:jc w:val="left"/>
            </w:pPr>
            <w:r>
              <w:t xml:space="preserve">MySQL</w:t>
            </w:r>
          </w:p>
        </w:tc>
        <w:tc>
          <w:tcPr/>
          <w:p>
            <w:pPr>
              <w:pStyle w:val="Compact"/>
              <w:jc w:val="left"/>
            </w:pPr>
            <w:r>
              <w:t xml:space="preserve">Oracle</w:t>
            </w:r>
          </w:p>
        </w:tc>
        <w:tc>
          <w:tcPr/>
          <w:p>
            <w:pPr>
              <w:pStyle w:val="Compact"/>
              <w:jc w:val="left"/>
            </w:pPr>
            <w:r>
              <w:t xml:space="preserve">OpenGauss Advantage</w:t>
            </w:r>
          </w:p>
        </w:tc>
      </w:tr>
      <w:tr>
        <w:tc>
          <w:tcPr/>
          <w:p>
            <w:pPr>
              <w:pStyle w:val="Compact"/>
              <w:jc w:val="left"/>
            </w:pPr>
            <w:r>
              <w:rPr>
                <w:b/>
                <w:bCs/>
              </w:rPr>
              <w:t xml:space="preserve">Storage</w:t>
            </w:r>
          </w:p>
        </w:tc>
        <w:tc>
          <w:tcPr/>
          <w:p>
            <w:pPr>
              <w:pStyle w:val="Compact"/>
              <w:jc w:val="left"/>
            </w:pPr>
            <w:r>
              <w:rPr>
                <w:b/>
                <w:bCs/>
              </w:rPr>
              <w:t xml:space="preserve">$0.08/GB</w:t>
            </w:r>
          </w:p>
        </w:tc>
        <w:tc>
          <w:tcPr/>
          <w:p>
            <w:pPr>
              <w:pStyle w:val="Compact"/>
              <w:jc w:val="left"/>
            </w:pPr>
            <w:r>
              <w:t xml:space="preserve">$0.15/GB</w:t>
            </w:r>
          </w:p>
        </w:tc>
        <w:tc>
          <w:tcPr/>
          <w:p>
            <w:pPr>
              <w:pStyle w:val="Compact"/>
              <w:jc w:val="left"/>
            </w:pPr>
            <w:r>
              <w:t xml:space="preserve">$0.28/GB</w:t>
            </w:r>
          </w:p>
        </w:tc>
        <w:tc>
          <w:tcPr/>
          <w:p>
            <w:pPr>
              <w:pStyle w:val="Compact"/>
              <w:jc w:val="left"/>
            </w:pPr>
            <w:r>
              <w:rPr>
                <w:b/>
                <w:bCs/>
              </w:rPr>
              <w:t xml:space="preserve">47% vs. MySQL, 71% vs. Oracle</w:t>
            </w:r>
            <w:r>
              <w:t xml:space="preserve"> </w:t>
            </w:r>
            <w:hyperlink r:id="rId21">
              <w:r>
                <w:rPr>
                  <w:rStyle w:val="af"/>
                </w:rPr>
                <w:t xml:space="preserve">(博客园)</w:t>
              </w:r>
            </w:hyperlink>
          </w:p>
        </w:tc>
      </w:tr>
      <w:tr>
        <w:tc>
          <w:tcPr/>
          <w:p>
            <w:pPr>
              <w:pStyle w:val="Compact"/>
              <w:jc w:val="left"/>
            </w:pPr>
            <w:r>
              <w:rPr>
                <w:b/>
                <w:bCs/>
              </w:rPr>
              <w:t xml:space="preserve">Manual tuning effort</w:t>
            </w:r>
          </w:p>
        </w:tc>
        <w:tc>
          <w:tcPr/>
          <w:p>
            <w:pPr>
              <w:pStyle w:val="Compact"/>
              <w:jc w:val="left"/>
            </w:pPr>
            <w:r>
              <w:rPr>
                <w:b/>
                <w:bCs/>
              </w:rPr>
              <w:t xml:space="preserve">80% reduction</w:t>
            </w:r>
          </w:p>
        </w:tc>
        <w:tc>
          <w:tcPr/>
          <w:p>
            <w:pPr>
              <w:pStyle w:val="Compact"/>
              <w:jc w:val="left"/>
            </w:pPr>
            <w:r>
              <w:t xml:space="preserve">Baseline</w:t>
            </w:r>
          </w:p>
        </w:tc>
        <w:tc>
          <w:tcPr/>
          <w:p>
            <w:pPr>
              <w:pStyle w:val="Compact"/>
              <w:jc w:val="left"/>
            </w:pPr>
            <w:r>
              <w:t xml:space="preserve">Baseline</w:t>
            </w:r>
          </w:p>
        </w:tc>
        <w:tc>
          <w:tcPr/>
          <w:p>
            <w:pPr>
              <w:pStyle w:val="Compact"/>
              <w:jc w:val="left"/>
            </w:pPr>
            <w:r>
              <w:t xml:space="preserve">Dramatic operational efficiency</w:t>
            </w:r>
          </w:p>
        </w:tc>
      </w:tr>
      <w:tr>
        <w:tc>
          <w:tcPr/>
          <w:p>
            <w:pPr>
              <w:pStyle w:val="Compact"/>
              <w:jc w:val="left"/>
            </w:pPr>
            <w:r>
              <w:rPr>
                <w:b/>
                <w:bCs/>
              </w:rPr>
              <w:t xml:space="preserve">DBA staffing</w:t>
            </w:r>
          </w:p>
        </w:tc>
        <w:tc>
          <w:tcPr/>
          <w:p>
            <w:pPr>
              <w:pStyle w:val="Compact"/>
              <w:jc w:val="left"/>
            </w:pPr>
            <w:r>
              <w:t xml:space="preserve">2-3 FTE reduction possible</w:t>
            </w:r>
          </w:p>
        </w:tc>
        <w:tc>
          <w:tcPr/>
          <w:p>
            <w:pPr>
              <w:pStyle w:val="Compact"/>
              <w:jc w:val="left"/>
            </w:pPr>
            <w:r>
              <w:t xml:space="preserve">Standard</w:t>
            </w:r>
          </w:p>
        </w:tc>
        <w:tc>
          <w:tcPr/>
          <w:p>
            <w:pPr>
              <w:pStyle w:val="Compact"/>
              <w:jc w:val="left"/>
            </w:pPr>
            <w:r>
              <w:t xml:space="preserve">Premium expertise required</w:t>
            </w:r>
          </w:p>
        </w:tc>
        <w:tc>
          <w:tcPr/>
          <w:p>
            <w:pPr>
              <w:pStyle w:val="Compact"/>
              <w:jc w:val="left"/>
            </w:pPr>
            <w:r>
              <w:t xml:space="preserve">Significant personnel cost optimization</w:t>
            </w:r>
          </w:p>
        </w:tc>
      </w:tr>
    </w:tbl>
    <w:p>
      <w:pPr>
        <w:pStyle w:val="a0"/>
      </w:pPr>
      <w:r>
        <w:t xml:space="preserve">The</w:t>
      </w:r>
      <w:r>
        <w:t xml:space="preserve"> </w:t>
      </w:r>
      <w:r>
        <w:rPr>
          <w:b/>
          <w:bCs/>
        </w:rPr>
        <w:t xml:space="preserve">automated tuning capabilities</w:t>
      </w:r>
      <w:r>
        <w:t xml:space="preserve"> </w:t>
      </w:r>
      <w:r>
        <w:t xml:space="preserve">translate to</w:t>
      </w:r>
      <w:r>
        <w:t xml:space="preserve"> </w:t>
      </w:r>
      <w:r>
        <w:rPr>
          <w:b/>
          <w:bCs/>
        </w:rPr>
        <w:t xml:space="preserve">50-85% reduction in manual optimization effort</w:t>
      </w:r>
      <w:r>
        <w:t xml:space="preserve">, enabling either reduced database administration staffing or reallocation to higher-value architecture activities</w:t>
      </w:r>
      <w:r>
        <w:t xml:space="preserve"> </w:t>
      </w:r>
      <w:hyperlink r:id="rId20">
        <w:r>
          <w:rPr>
            <w:rStyle w:val="af"/>
          </w:rPr>
          <w:t xml:space="preserve">(opengauss.org)</w:t>
        </w:r>
      </w:hyperlink>
      <w:r>
        <w:t xml:space="preserve"> </w:t>
      </w:r>
      <w:r>
        <w:t xml:space="preserve">. A large bank deployment documented</w:t>
      </w:r>
      <w:r>
        <w:t xml:space="preserve"> </w:t>
      </w:r>
      <w:r>
        <w:rPr>
          <w:b/>
          <w:bCs/>
        </w:rPr>
        <w:t xml:space="preserve">43% annual storage cost reduction</w:t>
      </w:r>
      <w:r>
        <w:t xml:space="preserve"> </w:t>
      </w:r>
      <w:r>
        <w:t xml:space="preserve">and</w:t>
      </w:r>
      <w:r>
        <w:t xml:space="preserve"> </w:t>
      </w:r>
      <w:r>
        <w:rPr>
          <w:b/>
          <w:bCs/>
        </w:rPr>
        <w:t xml:space="preserve">97.5% RTO improvement</w:t>
      </w:r>
      <w:r>
        <w:t xml:space="preserve"> </w:t>
      </w:r>
      <w:r>
        <w:t xml:space="preserve">(30 minutes to 8 seconds)</w:t>
      </w:r>
      <w:r>
        <w:t xml:space="preserve"> </w:t>
      </w:r>
      <w:hyperlink r:id="rId21">
        <w:r>
          <w:rPr>
            <w:rStyle w:val="af"/>
          </w:rPr>
          <w:t xml:space="preserve">(博客园)</w:t>
        </w:r>
      </w:hyperlink>
      <w:r>
        <w:t xml:space="preserve"> </w:t>
      </w:r>
      <w:r>
        <w:t xml:space="preserve">.</w:t>
      </w:r>
    </w:p>
    <w:bookmarkEnd w:id="60"/>
    <w:bookmarkStart w:id="62" w:name="total-cost-of-ownership-factors"/>
    <w:p>
      <w:pPr>
        <w:pStyle w:val="4"/>
      </w:pPr>
      <w:r>
        <w:t xml:space="preserve">3.1.3 Total Cost of Ownership Factors</w:t>
      </w:r>
    </w:p>
    <w:p>
      <w:pPr>
        <w:pStyle w:val="FirstParagraph"/>
      </w:pPr>
      <w:r>
        <w:rPr>
          <w:b/>
          <w:bCs/>
        </w:rPr>
        <w:t xml:space="preserve">PostgreSQL compatibility reduces training and transition costs</w:t>
      </w:r>
      <w:r>
        <w:t xml:space="preserve"> </w:t>
      </w:r>
      <w:r>
        <w:t xml:space="preserve">by enabling leverage of existing skills and tools. Organizations with PostgreSQL experience can apply that knowledge directly, with incremental training focused on OpenGauss-specific enhancements rather than fundamental re-education</w:t>
      </w:r>
      <w:r>
        <w:t xml:space="preserve"> </w:t>
      </w:r>
      <w:hyperlink r:id="rId61">
        <w:r>
          <w:rPr>
            <w:rStyle w:val="af"/>
          </w:rPr>
          <w:t xml:space="preserve">(墨天轮)</w:t>
        </w:r>
      </w:hyperlink>
      <w:r>
        <w:t xml:space="preserve"> </w:t>
      </w:r>
      <w:r>
        <w:t xml:space="preserve">.</w:t>
      </w:r>
    </w:p>
    <w:p>
      <w:pPr>
        <w:pStyle w:val="a0"/>
      </w:pPr>
      <w:r>
        <w:rPr>
          <w:b/>
          <w:bCs/>
        </w:rPr>
        <w:t xml:space="preserve">Hardware efficiency gains</w:t>
      </w:r>
      <w:r>
        <w:t xml:space="preserve"> </w:t>
      </w:r>
      <w:r>
        <w:t xml:space="preserve">from optimized resource utilization enable equivalent performance with reduced infrastructure investment. The</w:t>
      </w:r>
      <w:r>
        <w:t xml:space="preserve"> </w:t>
      </w:r>
      <w:r>
        <w:rPr>
          <w:b/>
          <w:bCs/>
        </w:rPr>
        <w:t xml:space="preserve">95% CPU utilization</w:t>
      </w:r>
      <w:r>
        <w:t xml:space="preserve"> </w:t>
      </w:r>
      <w:r>
        <w:t xml:space="preserve">achievement versus typical</w:t>
      </w:r>
      <w:r>
        <w:t xml:space="preserve"> </w:t>
      </w:r>
      <w:r>
        <w:rPr>
          <w:b/>
          <w:bCs/>
        </w:rPr>
        <w:t xml:space="preserve">60-70%</w:t>
      </w:r>
      <w:r>
        <w:t xml:space="preserve"> </w:t>
      </w:r>
      <w:r>
        <w:t xml:space="preserve">for alternatives translates to</w:t>
      </w:r>
      <w:r>
        <w:t xml:space="preserve"> </w:t>
      </w:r>
      <w:r>
        <w:rPr>
          <w:b/>
          <w:bCs/>
        </w:rPr>
        <w:t xml:space="preserve">35-40% reduction in server requirements</w:t>
      </w:r>
      <w:r>
        <w:t xml:space="preserve"> </w:t>
      </w:r>
      <w:r>
        <w:t xml:space="preserve">for equivalent throughput</w:t>
      </w:r>
      <w:r>
        <w:t xml:space="preserve"> </w:t>
      </w:r>
      <w:hyperlink r:id="rId21">
        <w:r>
          <w:rPr>
            <w:rStyle w:val="af"/>
          </w:rPr>
          <w:t xml:space="preserve">(博客园)</w:t>
        </w:r>
      </w:hyperlink>
      <w:r>
        <w:t xml:space="preserve"> </w:t>
      </w:r>
      <w:r>
        <w:t xml:space="preserve">.</w:t>
      </w:r>
    </w:p>
    <w:bookmarkEnd w:id="62"/>
    <w:bookmarkEnd w:id="63"/>
    <w:bookmarkStart w:id="67" w:name="risk-mitigation"/>
    <w:p>
      <w:pPr>
        <w:pStyle w:val="3"/>
      </w:pPr>
      <w:r>
        <w:t xml:space="preserve">3.2 Risk Mitigation</w:t>
      </w:r>
    </w:p>
    <w:bookmarkStart w:id="64" w:name="vendor-independence"/>
    <w:p>
      <w:pPr>
        <w:pStyle w:val="4"/>
      </w:pPr>
      <w:r>
        <w:t xml:space="preserve">3.2.1 Vendor Independence</w:t>
      </w:r>
    </w:p>
    <w:tbl>
      <w:tblPr>
        <w:tblStyle w:val="Table"/>
        <w:tblW w:type="pct" w:w="5000"/>
        <w:jc w:val="left"/>
        <w:tblLayout w:type="fixed"/>
        <w:tblLook w:firstRow="1" w:lastRow="0" w:firstColumn="0" w:lastColumn="0" w:noHBand="0" w:noVBand="0" w:val="0020"/>
      </w:tblPr>
      <w:tblGrid>
        <w:gridCol w:w="1608"/>
        <w:gridCol w:w="2598"/>
        <w:gridCol w:w="3712"/>
      </w:tblGrid>
      <w:tr>
        <w:trPr>
          <w:tblHeader w:val="on"/>
        </w:trPr>
        <w:tc>
          <w:tcPr/>
          <w:p>
            <w:pPr>
              <w:pStyle w:val="Compact"/>
              <w:jc w:val="left"/>
            </w:pPr>
            <w:r>
              <w:t xml:space="preserve">Risk Factor</w:t>
            </w:r>
          </w:p>
        </w:tc>
        <w:tc>
          <w:tcPr/>
          <w:p>
            <w:pPr>
              <w:pStyle w:val="Compact"/>
              <w:jc w:val="left"/>
            </w:pPr>
            <w:r>
              <w:t xml:space="preserve">OpenGauss Mitigation</w:t>
            </w:r>
          </w:p>
        </w:tc>
        <w:tc>
          <w:tcPr/>
          <w:p>
            <w:pPr>
              <w:pStyle w:val="Compact"/>
              <w:jc w:val="left"/>
            </w:pPr>
            <w:r>
              <w:t xml:space="preserve">Proprietary Database Exposure</w:t>
            </w:r>
          </w:p>
        </w:tc>
      </w:tr>
      <w:tr>
        <w:tc>
          <w:tcPr/>
          <w:p>
            <w:pPr>
              <w:pStyle w:val="Compact"/>
              <w:jc w:val="left"/>
            </w:pPr>
            <w:r>
              <w:rPr>
                <w:b/>
                <w:bCs/>
              </w:rPr>
              <w:t xml:space="preserve">Technology continuity</w:t>
            </w:r>
          </w:p>
        </w:tc>
        <w:tc>
          <w:tcPr/>
          <w:p>
            <w:pPr>
              <w:pStyle w:val="Compact"/>
              <w:jc w:val="left"/>
            </w:pPr>
            <w:r>
              <w:t xml:space="preserve">Open-source with multiple distributions</w:t>
            </w:r>
          </w:p>
        </w:tc>
        <w:tc>
          <w:tcPr/>
          <w:p>
            <w:pPr>
              <w:pStyle w:val="Compact"/>
              <w:jc w:val="left"/>
            </w:pPr>
            <w:r>
              <w:t xml:space="preserve">Single-vendor strategic decisions</w:t>
            </w:r>
          </w:p>
        </w:tc>
      </w:tr>
      <w:tr>
        <w:tc>
          <w:tcPr/>
          <w:p>
            <w:pPr>
              <w:pStyle w:val="Compact"/>
              <w:jc w:val="left"/>
            </w:pPr>
            <w:r>
              <w:rPr>
                <w:b/>
                <w:bCs/>
              </w:rPr>
              <w:t xml:space="preserve">Support alternatives</w:t>
            </w:r>
          </w:p>
        </w:tc>
        <w:tc>
          <w:tcPr/>
          <w:p>
            <w:pPr>
              <w:pStyle w:val="Compact"/>
              <w:jc w:val="left"/>
            </w:pPr>
            <w:r>
              <w:t xml:space="preserve">Community, Huawei, MogDB, Vastbase, others</w:t>
            </w:r>
          </w:p>
        </w:tc>
        <w:tc>
          <w:tcPr/>
          <w:p>
            <w:pPr>
              <w:pStyle w:val="Compact"/>
              <w:jc w:val="left"/>
            </w:pPr>
            <w:r>
              <w:t xml:space="preserve">Vendor-controlled ecosystem</w:t>
            </w:r>
          </w:p>
        </w:tc>
      </w:tr>
      <w:tr>
        <w:tc>
          <w:tcPr/>
          <w:p>
            <w:pPr>
              <w:pStyle w:val="Compact"/>
              <w:jc w:val="left"/>
            </w:pPr>
            <w:r>
              <w:rPr>
                <w:b/>
                <w:bCs/>
              </w:rPr>
              <w:t xml:space="preserve">Security auditability</w:t>
            </w:r>
          </w:p>
        </w:tc>
        <w:tc>
          <w:tcPr/>
          <w:p>
            <w:pPr>
              <w:pStyle w:val="Compact"/>
              <w:jc w:val="left"/>
            </w:pPr>
            <w:r>
              <w:t xml:space="preserve">Full source code inspection</w:t>
            </w:r>
          </w:p>
        </w:tc>
        <w:tc>
          <w:tcPr/>
          <w:p>
            <w:pPr>
              <w:pStyle w:val="Compact"/>
              <w:jc w:val="left"/>
            </w:pPr>
            <w:r>
              <w:t xml:space="preserve">Black-box trust model</w:t>
            </w:r>
          </w:p>
        </w:tc>
      </w:tr>
      <w:tr>
        <w:tc>
          <w:tcPr/>
          <w:p>
            <w:pPr>
              <w:pStyle w:val="Compact"/>
              <w:jc w:val="left"/>
            </w:pPr>
            <w:r>
              <w:rPr>
                <w:b/>
                <w:bCs/>
              </w:rPr>
              <w:t xml:space="preserve">Pricing leverage</w:t>
            </w:r>
          </w:p>
        </w:tc>
        <w:tc>
          <w:tcPr/>
          <w:p>
            <w:pPr>
              <w:pStyle w:val="Compact"/>
              <w:jc w:val="left"/>
            </w:pPr>
            <w:r>
              <w:t xml:space="preserve">Competitive market for services</w:t>
            </w:r>
          </w:p>
        </w:tc>
        <w:tc>
          <w:tcPr/>
          <w:p>
            <w:pPr>
              <w:pStyle w:val="Compact"/>
              <w:jc w:val="left"/>
            </w:pPr>
            <w:r>
              <w:t xml:space="preserve">Vendor lock-in negotiation disadvantage</w:t>
            </w:r>
            <w:r>
              <w:t xml:space="preserve"> </w:t>
            </w:r>
            <w:hyperlink r:id="rId20">
              <w:r>
                <w:rPr>
                  <w:rStyle w:val="af"/>
                </w:rPr>
                <w:t xml:space="preserve">(opengauss.org)</w:t>
              </w:r>
            </w:hyperlink>
          </w:p>
        </w:tc>
      </w:tr>
    </w:tbl>
    <w:p>
      <w:pPr>
        <w:pStyle w:val="a0"/>
      </w:pPr>
      <w:r>
        <w:t xml:space="preserve">The</w:t>
      </w:r>
      <w:r>
        <w:t xml:space="preserve"> </w:t>
      </w:r>
      <w:r>
        <w:rPr>
          <w:b/>
          <w:bCs/>
        </w:rPr>
        <w:t xml:space="preserve">active community with 4,000+ annual contributors</w:t>
      </w:r>
      <w:r>
        <w:t xml:space="preserve"> </w:t>
      </w:r>
      <w:r>
        <w:t xml:space="preserve">and</w:t>
      </w:r>
      <w:r>
        <w:t xml:space="preserve"> </w:t>
      </w:r>
      <w:r>
        <w:rPr>
          <w:b/>
          <w:bCs/>
        </w:rPr>
        <w:t xml:space="preserve">growing commercial distribution ecosystem</w:t>
      </w:r>
      <w:r>
        <w:t xml:space="preserve"> </w:t>
      </w:r>
      <w:r>
        <w:t xml:space="preserve">creates structural protection against single-point-of-failure scenarios</w:t>
      </w:r>
      <w:r>
        <w:t xml:space="preserve"> </w:t>
      </w:r>
      <w:hyperlink r:id="rId21">
        <w:r>
          <w:rPr>
            <w:rStyle w:val="af"/>
          </w:rPr>
          <w:t xml:space="preserve">(博客园)</w:t>
        </w:r>
      </w:hyperlink>
      <w:r>
        <w:t xml:space="preserve"> </w:t>
      </w:r>
      <w:r>
        <w:t xml:space="preserve">.</w:t>
      </w:r>
    </w:p>
    <w:bookmarkEnd w:id="64"/>
    <w:bookmarkStart w:id="66" w:name="ecosystem-resilience"/>
    <w:p>
      <w:pPr>
        <w:pStyle w:val="4"/>
      </w:pPr>
      <w:r>
        <w:t xml:space="preserve">3.2.2 Ecosystem Resilience</w:t>
      </w:r>
    </w:p>
    <w:p>
      <w:pPr>
        <w:pStyle w:val="FirstParagraph"/>
      </w:pPr>
      <w:r>
        <w:rPr>
          <w:b/>
          <w:bCs/>
        </w:rPr>
        <w:t xml:space="preserve">Huawei’s enterprise backing</w:t>
      </w:r>
      <w:r>
        <w:t xml:space="preserve"> </w:t>
      </w:r>
      <w:r>
        <w:t xml:space="preserve">provides confidence in sustained investment, with OpenGauss technology powering</w:t>
      </w:r>
      <w:r>
        <w:t xml:space="preserve"> </w:t>
      </w:r>
      <w:r>
        <w:rPr>
          <w:b/>
          <w:bCs/>
        </w:rPr>
        <w:t xml:space="preserve">commercial GaussDB deployments at scale</w:t>
      </w:r>
      <w:r>
        <w:t xml:space="preserve"> </w:t>
      </w:r>
      <w:r>
        <w:t xml:space="preserve">including</w:t>
      </w:r>
      <w:r>
        <w:t xml:space="preserve"> </w:t>
      </w:r>
      <w:r>
        <w:rPr>
          <w:b/>
          <w:bCs/>
        </w:rPr>
        <w:t xml:space="preserve">ICBC’s 200-service Oracle migration</w:t>
      </w:r>
      <w:r>
        <w:t xml:space="preserve"> </w:t>
      </w:r>
      <w:hyperlink r:id="rId48">
        <w:r>
          <w:rPr>
            <w:rStyle w:val="af"/>
          </w:rPr>
          <w:t xml:space="preserve">(Source)</w:t>
        </w:r>
      </w:hyperlink>
      <w:r>
        <w:t xml:space="preserve"> </w:t>
      </w:r>
      <w:r>
        <w:t xml:space="preserve">. The</w:t>
      </w:r>
      <w:r>
        <w:t xml:space="preserve"> </w:t>
      </w:r>
      <w:r>
        <w:rPr>
          <w:b/>
          <w:bCs/>
        </w:rPr>
        <w:t xml:space="preserve">partner ecosystem expansion</w:t>
      </w:r>
      <w:r>
        <w:t xml:space="preserve">—including SmartX hyperconverged infrastructure achieving</w:t>
      </w:r>
      <w:r>
        <w:t xml:space="preserve"> </w:t>
      </w:r>
      <w:r>
        <w:rPr>
          <w:b/>
          <w:bCs/>
        </w:rPr>
        <w:t xml:space="preserve">41-174% performance improvement</w:t>
      </w:r>
      <w:r>
        <w:t xml:space="preserve"> </w:t>
      </w:r>
      <w:hyperlink r:id="rId65">
        <w:r>
          <w:rPr>
            <w:rStyle w:val="af"/>
          </w:rPr>
          <w:t xml:space="preserve">(SmartX 超融合)</w:t>
        </w:r>
      </w:hyperlink>
      <w:r>
        <w:t xml:space="preserve"> </w:t>
      </w:r>
      <w:r>
        <w:t xml:space="preserve">—demonstrates growing infrastructure optimization that enhances deployment flexibility.</w:t>
      </w:r>
    </w:p>
    <w:bookmarkEnd w:id="66"/>
    <w:bookmarkEnd w:id="67"/>
    <w:bookmarkEnd w:id="68"/>
    <w:bookmarkStart w:id="74" w:name="competitive-database-comparison"/>
    <w:p>
      <w:pPr>
        <w:pStyle w:val="2"/>
      </w:pPr>
      <w:r>
        <w:t xml:space="preserve">4. Competitive Database Comparison</w:t>
      </w:r>
    </w:p>
    <w:bookmarkStart w:id="69" w:name="opengauss-vs.-postgresql"/>
    <w:p>
      <w:pPr>
        <w:pStyle w:val="3"/>
      </w:pPr>
      <w:r>
        <w:t xml:space="preserve">4.1 OpenGauss vs. PostgreSQL</w:t>
      </w:r>
    </w:p>
    <w:tbl>
      <w:tblPr>
        <w:tblStyle w:val="Table"/>
        <w:tblW w:type="pct" w:w="5000"/>
        <w:jc w:val="left"/>
        <w:tblLayout w:type="fixed"/>
        <w:tblLook w:firstRow="1" w:lastRow="0" w:firstColumn="0" w:lastColumn="0" w:noHBand="0" w:noVBand="0" w:val="0020"/>
      </w:tblPr>
      <w:tblGrid>
        <w:gridCol w:w="1555"/>
        <w:gridCol w:w="1555"/>
        <w:gridCol w:w="1697"/>
        <w:gridCol w:w="3111"/>
      </w:tblGrid>
      <w:tr>
        <w:trPr>
          <w:tblHeader w:val="on"/>
        </w:trPr>
        <w:tc>
          <w:tcPr/>
          <w:p>
            <w:pPr>
              <w:pStyle w:val="Compact"/>
              <w:jc w:val="left"/>
            </w:pPr>
            <w:r>
              <w:t xml:space="preserve">Dimension</w:t>
            </w:r>
          </w:p>
        </w:tc>
        <w:tc>
          <w:tcPr/>
          <w:p>
            <w:pPr>
              <w:pStyle w:val="Compact"/>
              <w:jc w:val="left"/>
            </w:pPr>
            <w:r>
              <w:t xml:space="preserve">OpenGauss</w:t>
            </w:r>
          </w:p>
        </w:tc>
        <w:tc>
          <w:tcPr/>
          <w:p>
            <w:pPr>
              <w:pStyle w:val="Compact"/>
              <w:jc w:val="left"/>
            </w:pPr>
            <w:r>
              <w:t xml:space="preserve">PostgreSQL</w:t>
            </w:r>
          </w:p>
        </w:tc>
        <w:tc>
          <w:tcPr/>
          <w:p>
            <w:pPr>
              <w:pStyle w:val="Compact"/>
              <w:jc w:val="left"/>
            </w:pPr>
            <w:r>
              <w:t xml:space="preserve">Strategic Implication</w:t>
            </w:r>
          </w:p>
        </w:tc>
      </w:tr>
      <w:tr>
        <w:tc>
          <w:tcPr/>
          <w:p>
            <w:pPr>
              <w:pStyle w:val="Compact"/>
              <w:jc w:val="left"/>
            </w:pPr>
            <w:r>
              <w:rPr>
                <w:b/>
                <w:bCs/>
              </w:rPr>
              <w:t xml:space="preserve">Performance</w:t>
            </w:r>
          </w:p>
        </w:tc>
        <w:tc>
          <w:tcPr/>
          <w:p>
            <w:pPr>
              <w:pStyle w:val="Compact"/>
              <w:jc w:val="left"/>
            </w:pPr>
            <w:r>
              <w:t xml:space="preserve">1.5M tpmC Kunpeng, &gt;1M tpmC x86</w:t>
            </w:r>
          </w:p>
        </w:tc>
        <w:tc>
          <w:tcPr/>
          <w:p>
            <w:pPr>
              <w:pStyle w:val="Compact"/>
              <w:jc w:val="left"/>
            </w:pPr>
            <w:r>
              <w:t xml:space="preserve">&lt;700K tpmC x86</w:t>
            </w:r>
          </w:p>
        </w:tc>
        <w:tc>
          <w:tcPr/>
          <w:p>
            <w:pPr>
              <w:pStyle w:val="Compact"/>
              <w:jc w:val="left"/>
            </w:pPr>
            <w:r>
              <w:rPr>
                <w:b/>
                <w:bCs/>
              </w:rPr>
              <w:t xml:space="preserve">2x+ throughput advantage</w:t>
            </w:r>
            <w:r>
              <w:t xml:space="preserve"> </w:t>
            </w:r>
            <w:r>
              <w:t xml:space="preserve">for demanding workloads</w:t>
            </w:r>
            <w:r>
              <w:t xml:space="preserve"> </w:t>
            </w:r>
            <w:hyperlink r:id="rId27">
              <w:r>
                <w:rPr>
                  <w:rStyle w:val="af"/>
                </w:rPr>
                <w:t xml:space="preserve">(hc-cdn.cn)</w:t>
              </w:r>
            </w:hyperlink>
          </w:p>
        </w:tc>
      </w:tr>
      <w:tr>
        <w:tc>
          <w:tcPr/>
          <w:p>
            <w:pPr>
              <w:pStyle w:val="Compact"/>
              <w:jc w:val="left"/>
            </w:pPr>
            <w:r>
              <w:rPr>
                <w:b/>
                <w:bCs/>
              </w:rPr>
              <w:t xml:space="preserve">AI capabilities</w:t>
            </w:r>
          </w:p>
        </w:tc>
        <w:tc>
          <w:tcPr/>
          <w:p>
            <w:pPr>
              <w:pStyle w:val="Compact"/>
              <w:jc w:val="left"/>
            </w:pPr>
            <w:r>
              <w:t xml:space="preserve">Integrated DBMind autonomous operations</w:t>
            </w:r>
          </w:p>
        </w:tc>
        <w:tc>
          <w:tcPr/>
          <w:p>
            <w:pPr>
              <w:pStyle w:val="Compact"/>
              <w:jc w:val="left"/>
            </w:pPr>
            <w:r>
              <w:t xml:space="preserve">External tools required</w:t>
            </w:r>
          </w:p>
        </w:tc>
        <w:tc>
          <w:tcPr/>
          <w:p>
            <w:pPr>
              <w:pStyle w:val="Compact"/>
              <w:jc w:val="left"/>
            </w:pPr>
            <w:r>
              <w:rPr>
                <w:b/>
                <w:bCs/>
              </w:rPr>
              <w:t xml:space="preserve">Reduced operational complexity</w:t>
            </w:r>
          </w:p>
        </w:tc>
      </w:tr>
      <w:tr>
        <w:tc>
          <w:tcPr/>
          <w:p>
            <w:pPr>
              <w:pStyle w:val="Compact"/>
              <w:jc w:val="left"/>
            </w:pPr>
            <w:r>
              <w:rPr>
                <w:b/>
                <w:bCs/>
              </w:rPr>
              <w:t xml:space="preserve">Security</w:t>
            </w:r>
          </w:p>
        </w:tc>
        <w:tc>
          <w:tcPr/>
          <w:p>
            <w:pPr>
              <w:pStyle w:val="Compact"/>
              <w:jc w:val="left"/>
            </w:pPr>
            <w:r>
              <w:t xml:space="preserve">TDE, unified audit, dynamic masking (core)</w:t>
            </w:r>
          </w:p>
        </w:tc>
        <w:tc>
          <w:tcPr/>
          <w:p>
            <w:pPr>
              <w:pStyle w:val="Compact"/>
              <w:jc w:val="left"/>
            </w:pPr>
            <w:r>
              <w:t xml:space="preserve">Extensions required</w:t>
            </w:r>
          </w:p>
        </w:tc>
        <w:tc>
          <w:tcPr/>
          <w:p>
            <w:pPr>
              <w:pStyle w:val="Compact"/>
              <w:jc w:val="left"/>
            </w:pPr>
            <w:r>
              <w:rPr>
                <w:b/>
                <w:bCs/>
              </w:rPr>
              <w:t xml:space="preserve">Lower compliance effort</w:t>
            </w:r>
          </w:p>
        </w:tc>
      </w:tr>
      <w:tr>
        <w:tc>
          <w:tcPr/>
          <w:p>
            <w:pPr>
              <w:pStyle w:val="Compact"/>
              <w:jc w:val="left"/>
            </w:pPr>
            <w:r>
              <w:rPr>
                <w:b/>
                <w:bCs/>
              </w:rPr>
              <w:t xml:space="preserve">Extension ecosystem</w:t>
            </w:r>
          </w:p>
        </w:tc>
        <w:tc>
          <w:tcPr/>
          <w:p>
            <w:pPr>
              <w:pStyle w:val="Compact"/>
              <w:jc w:val="left"/>
            </w:pPr>
            <w:r>
              <w:t xml:space="preserve">Growing, focused</w:t>
            </w:r>
          </w:p>
        </w:tc>
        <w:tc>
          <w:tcPr/>
          <w:p>
            <w:pPr>
              <w:pStyle w:val="Compact"/>
              <w:jc w:val="left"/>
            </w:pPr>
            <w:r>
              <w:t xml:space="preserve">1000s of community extensions</w:t>
            </w:r>
          </w:p>
        </w:tc>
        <w:tc>
          <w:tcPr/>
          <w:p>
            <w:pPr>
              <w:pStyle w:val="Compact"/>
              <w:jc w:val="left"/>
            </w:pPr>
            <w:r>
              <w:t xml:space="preserve">PostgreSQL advantage for niche requirements</w:t>
            </w:r>
          </w:p>
        </w:tc>
      </w:tr>
      <w:tr>
        <w:tc>
          <w:tcPr/>
          <w:p>
            <w:pPr>
              <w:pStyle w:val="Compact"/>
              <w:jc w:val="left"/>
            </w:pPr>
            <w:r>
              <w:rPr>
                <w:b/>
                <w:bCs/>
              </w:rPr>
              <w:t xml:space="preserve">Migration effort</w:t>
            </w:r>
          </w:p>
        </w:tc>
        <w:tc>
          <w:tcPr/>
          <w:p>
            <w:pPr>
              <w:pStyle w:val="Compact"/>
              <w:jc w:val="left"/>
            </w:pPr>
            <w:r>
              <w:rPr>
                <w:b/>
                <w:bCs/>
              </w:rPr>
              <w:t xml:space="preserve">High compatibility, minimal changes</w:t>
            </w:r>
          </w:p>
        </w:tc>
        <w:tc>
          <w:tcPr/>
          <w:p>
            <w:pPr>
              <w:pStyle w:val="Compact"/>
              <w:jc w:val="left"/>
            </w:pPr>
            <w:r>
              <w:t xml:space="preserve">N/A</w:t>
            </w:r>
          </w:p>
        </w:tc>
        <w:tc>
          <w:tcPr/>
          <w:p>
            <w:pPr>
              <w:pStyle w:val="Compact"/>
              <w:jc w:val="left"/>
            </w:pPr>
            <w:r>
              <w:rPr>
                <w:b/>
                <w:bCs/>
              </w:rPr>
              <w:t xml:space="preserve">Low-risk adoption path</w:t>
            </w:r>
            <w:r>
              <w:t xml:space="preserve"> </w:t>
            </w:r>
            <w:hyperlink r:id="rId61">
              <w:r>
                <w:rPr>
                  <w:rStyle w:val="af"/>
                </w:rPr>
                <w:t xml:space="preserve">(墨天轮)</w:t>
              </w:r>
            </w:hyperlink>
          </w:p>
        </w:tc>
      </w:tr>
    </w:tbl>
    <w:p>
      <w:pPr>
        <w:pStyle w:val="a0"/>
      </w:pPr>
      <w:r>
        <w:rPr>
          <w:b/>
          <w:bCs/>
        </w:rPr>
        <w:t xml:space="preserve">Key insight</w:t>
      </w:r>
      <w:r>
        <w:t xml:space="preserve">: OpenGauss and PostgreSQL are better understood as</w:t>
      </w:r>
      <w:r>
        <w:t xml:space="preserve"> </w:t>
      </w:r>
      <w:r>
        <w:rPr>
          <w:b/>
          <w:bCs/>
        </w:rPr>
        <w:t xml:space="preserve">divergent siblings than parent-child</w:t>
      </w:r>
      <w:r>
        <w:t xml:space="preserve">. Shared foundations enable skill transfer and tooling compatibility, while distinct optimization paths create clear differentiation for enterprise-scale, performance-critical deployments.</w:t>
      </w:r>
    </w:p>
    <w:bookmarkEnd w:id="69"/>
    <w:bookmarkStart w:id="71" w:name="opengauss-vs.-mysql"/>
    <w:p>
      <w:pPr>
        <w:pStyle w:val="3"/>
      </w:pPr>
      <w:r>
        <w:t xml:space="preserve">4.2 OpenGauss vs. MySQL</w:t>
      </w:r>
    </w:p>
    <w:tbl>
      <w:tblPr>
        <w:tblStyle w:val="Table"/>
        <w:tblW w:type="pct" w:w="5000"/>
        <w:jc w:val="left"/>
        <w:tblLayout w:type="fixed"/>
        <w:tblLook w:firstRow="1" w:lastRow="0" w:firstColumn="0" w:lastColumn="0" w:noHBand="0" w:noVBand="0" w:val="0020"/>
      </w:tblPr>
      <w:tblGrid>
        <w:gridCol w:w="1584"/>
        <w:gridCol w:w="1584"/>
        <w:gridCol w:w="1584"/>
        <w:gridCol w:w="3168"/>
      </w:tblGrid>
      <w:tr>
        <w:trPr>
          <w:tblHeader w:val="on"/>
        </w:trPr>
        <w:tc>
          <w:tcPr/>
          <w:p>
            <w:pPr>
              <w:pStyle w:val="Compact"/>
              <w:jc w:val="left"/>
            </w:pPr>
            <w:r>
              <w:t xml:space="preserve">Dimension</w:t>
            </w:r>
          </w:p>
        </w:tc>
        <w:tc>
          <w:tcPr/>
          <w:p>
            <w:pPr>
              <w:pStyle w:val="Compact"/>
              <w:jc w:val="left"/>
            </w:pPr>
            <w:r>
              <w:t xml:space="preserve">OpenGauss</w:t>
            </w:r>
          </w:p>
        </w:tc>
        <w:tc>
          <w:tcPr/>
          <w:p>
            <w:pPr>
              <w:pStyle w:val="Compact"/>
              <w:jc w:val="left"/>
            </w:pPr>
            <w:r>
              <w:t xml:space="preserve">MySQL 8.0</w:t>
            </w:r>
          </w:p>
        </w:tc>
        <w:tc>
          <w:tcPr/>
          <w:p>
            <w:pPr>
              <w:pStyle w:val="Compact"/>
              <w:jc w:val="left"/>
            </w:pPr>
            <w:r>
              <w:t xml:space="preserve">Strategic Implication</w:t>
            </w:r>
          </w:p>
        </w:tc>
      </w:tr>
      <w:tr>
        <w:tc>
          <w:tcPr/>
          <w:p>
            <w:pPr>
              <w:pStyle w:val="Compact"/>
              <w:jc w:val="left"/>
            </w:pPr>
            <w:r>
              <w:rPr>
                <w:b/>
                <w:bCs/>
              </w:rPr>
              <w:t xml:space="preserve">TPC-C throughput</w:t>
            </w:r>
          </w:p>
        </w:tc>
        <w:tc>
          <w:tcPr/>
          <w:p>
            <w:pPr>
              <w:pStyle w:val="Compact"/>
              <w:jc w:val="left"/>
            </w:pPr>
            <w:r>
              <w:rPr>
                <w:b/>
                <w:bCs/>
              </w:rPr>
              <w:t xml:space="preserve">1.52M tpmC</w:t>
            </w:r>
          </w:p>
        </w:tc>
        <w:tc>
          <w:tcPr/>
          <w:p>
            <w:pPr>
              <w:pStyle w:val="Compact"/>
              <w:jc w:val="left"/>
            </w:pPr>
            <w:r>
              <w:t xml:space="preserve">0.65M tpmC</w:t>
            </w:r>
          </w:p>
        </w:tc>
        <w:tc>
          <w:tcPr/>
          <w:p>
            <w:pPr>
              <w:pStyle w:val="Compact"/>
              <w:jc w:val="left"/>
            </w:pPr>
            <w:r>
              <w:rPr>
                <w:b/>
                <w:bCs/>
              </w:rPr>
              <w:t xml:space="preserve">2.3x performance advantage</w:t>
            </w:r>
            <w:r>
              <w:t xml:space="preserve"> </w:t>
            </w:r>
            <w:hyperlink r:id="rId27">
              <w:r>
                <w:rPr>
                  <w:rStyle w:val="af"/>
                </w:rPr>
                <w:t xml:space="preserve">(hc-cdn.cn)</w:t>
              </w:r>
            </w:hyperlink>
          </w:p>
        </w:tc>
      </w:tr>
      <w:tr>
        <w:tc>
          <w:tcPr/>
          <w:p>
            <w:pPr>
              <w:pStyle w:val="Compact"/>
              <w:jc w:val="left"/>
            </w:pPr>
            <w:r>
              <w:rPr>
                <w:b/>
                <w:bCs/>
              </w:rPr>
              <w:t xml:space="preserve">Scalability</w:t>
            </w:r>
          </w:p>
        </w:tc>
        <w:tc>
          <w:tcPr/>
          <w:p>
            <w:pPr>
              <w:pStyle w:val="Compact"/>
              <w:jc w:val="left"/>
            </w:pPr>
            <w:r>
              <w:t xml:space="preserve">Linear to high core counts</w:t>
            </w:r>
          </w:p>
        </w:tc>
        <w:tc>
          <w:tcPr/>
          <w:p>
            <w:pPr>
              <w:pStyle w:val="Compact"/>
              <w:jc w:val="left"/>
            </w:pPr>
            <w:r>
              <w:t xml:space="preserve">Bottlenecks at moderate scale</w:t>
            </w:r>
          </w:p>
        </w:tc>
        <w:tc>
          <w:tcPr/>
          <w:p>
            <w:pPr>
              <w:pStyle w:val="Compact"/>
              <w:jc w:val="left"/>
            </w:pPr>
            <w:r>
              <w:rPr>
                <w:b/>
                <w:bCs/>
              </w:rPr>
              <w:t xml:space="preserve">Better hardware utilization</w:t>
            </w:r>
          </w:p>
        </w:tc>
      </w:tr>
      <w:tr>
        <w:tc>
          <w:tcPr/>
          <w:p>
            <w:pPr>
              <w:pStyle w:val="Compact"/>
              <w:jc w:val="left"/>
            </w:pPr>
            <w:r>
              <w:rPr>
                <w:b/>
                <w:bCs/>
              </w:rPr>
              <w:t xml:space="preserve">Query optimization</w:t>
            </w:r>
          </w:p>
        </w:tc>
        <w:tc>
          <w:tcPr/>
          <w:p>
            <w:pPr>
              <w:pStyle w:val="Compact"/>
              <w:jc w:val="left"/>
            </w:pPr>
            <w:r>
              <w:t xml:space="preserve">AI-enhanced cost-based</w:t>
            </w:r>
          </w:p>
        </w:tc>
        <w:tc>
          <w:tcPr/>
          <w:p>
            <w:pPr>
              <w:pStyle w:val="Compact"/>
              <w:jc w:val="left"/>
            </w:pPr>
            <w:r>
              <w:t xml:space="preserve">Improved but heuristic-based</w:t>
            </w:r>
          </w:p>
        </w:tc>
        <w:tc>
          <w:tcPr/>
          <w:p>
            <w:pPr>
              <w:pStyle w:val="Compact"/>
              <w:jc w:val="left"/>
            </w:pPr>
            <w:r>
              <w:rPr>
                <w:b/>
                <w:bCs/>
              </w:rPr>
              <w:t xml:space="preserve">More consistent plan quality</w:t>
            </w:r>
          </w:p>
        </w:tc>
      </w:tr>
      <w:tr>
        <w:tc>
          <w:tcPr/>
          <w:p>
            <w:pPr>
              <w:pStyle w:val="Compact"/>
              <w:jc w:val="left"/>
            </w:pPr>
            <w:r>
              <w:rPr>
                <w:b/>
                <w:bCs/>
              </w:rPr>
              <w:t xml:space="preserve">Enterprise security</w:t>
            </w:r>
          </w:p>
        </w:tc>
        <w:tc>
          <w:tcPr/>
          <w:p>
            <w:pPr>
              <w:pStyle w:val="Compact"/>
              <w:jc w:val="left"/>
            </w:pPr>
            <w:r>
              <w:t xml:space="preserve">Integrated (TDE, audit, masking)</w:t>
            </w:r>
          </w:p>
        </w:tc>
        <w:tc>
          <w:tcPr/>
          <w:p>
            <w:pPr>
              <w:pStyle w:val="Compact"/>
              <w:jc w:val="left"/>
            </w:pPr>
            <w:r>
              <w:t xml:space="preserve">Enterprise Edition add-ons</w:t>
            </w:r>
          </w:p>
        </w:tc>
        <w:tc>
          <w:tcPr/>
          <w:p>
            <w:pPr>
              <w:pStyle w:val="Compact"/>
              <w:jc w:val="left"/>
            </w:pPr>
            <w:r>
              <w:rPr>
                <w:b/>
                <w:bCs/>
              </w:rPr>
              <w:t xml:space="preserve">Lower total cost for compliance</w:t>
            </w:r>
          </w:p>
        </w:tc>
      </w:tr>
      <w:tr>
        <w:tc>
          <w:tcPr/>
          <w:p>
            <w:pPr>
              <w:pStyle w:val="Compact"/>
              <w:jc w:val="left"/>
            </w:pPr>
            <w:r>
              <w:rPr>
                <w:b/>
                <w:bCs/>
              </w:rPr>
              <w:t xml:space="preserve">Replication maturity</w:t>
            </w:r>
          </w:p>
        </w:tc>
        <w:tc>
          <w:tcPr/>
          <w:p>
            <w:pPr>
              <w:pStyle w:val="Compact"/>
              <w:jc w:val="left"/>
            </w:pPr>
            <w:r>
              <w:t xml:space="preserve">Growing capability</w:t>
            </w:r>
          </w:p>
        </w:tc>
        <w:tc>
          <w:tcPr/>
          <w:p>
            <w:pPr>
              <w:pStyle w:val="Compact"/>
              <w:jc w:val="left"/>
            </w:pPr>
            <w:r>
              <w:t xml:space="preserve">Extensive ecosystem</w:t>
            </w:r>
          </w:p>
        </w:tc>
        <w:tc>
          <w:tcPr/>
          <w:p>
            <w:pPr>
              <w:pStyle w:val="Compact"/>
              <w:jc w:val="left"/>
            </w:pPr>
            <w:r>
              <w:t xml:space="preserve">MySQL advantage for specific patterns</w:t>
            </w:r>
          </w:p>
        </w:tc>
      </w:tr>
    </w:tbl>
    <w:p>
      <w:pPr>
        <w:pStyle w:val="a0"/>
      </w:pPr>
      <w:r>
        <w:rPr>
          <w:b/>
          <w:bCs/>
        </w:rPr>
        <w:t xml:space="preserve">Migration pathway</w:t>
      </w:r>
      <w:r>
        <w:t xml:space="preserve">: Moderate complexity due to architectural differences. Tools including</w:t>
      </w:r>
      <w:r>
        <w:t xml:space="preserve"> </w:t>
      </w:r>
      <w:r>
        <w:rPr>
          <w:b/>
          <w:bCs/>
        </w:rPr>
        <w:t xml:space="preserve">chameleon, Datakit, and PortalControl</w:t>
      </w:r>
      <w:r>
        <w:t xml:space="preserve"> </w:t>
      </w:r>
      <w:r>
        <w:t xml:space="preserve">address schema conversion and data migration, with</w:t>
      </w:r>
      <w:r>
        <w:t xml:space="preserve"> </w:t>
      </w:r>
      <w:r>
        <w:rPr>
          <w:b/>
          <w:bCs/>
        </w:rPr>
        <w:t xml:space="preserve">gs_mysync achieving 300+ MB/s full migration</w:t>
      </w:r>
      <w:r>
        <w:t xml:space="preserve"> </w:t>
      </w:r>
      <w:r>
        <w:t xml:space="preserve">and</w:t>
      </w:r>
      <w:r>
        <w:t xml:space="preserve"> </w:t>
      </w:r>
      <w:r>
        <w:rPr>
          <w:b/>
          <w:bCs/>
        </w:rPr>
        <w:t xml:space="preserve">gs_replicate providing 30,000+ TPS incremental synchronization</w:t>
      </w:r>
      <w:r>
        <w:t xml:space="preserve"> </w:t>
      </w:r>
      <w:hyperlink r:id="rId53">
        <w:r>
          <w:rPr>
            <w:rStyle w:val="af"/>
          </w:rPr>
          <w:t xml:space="preserve">(opengauss.org)</w:t>
        </w:r>
      </w:hyperlink>
      <w:r>
        <w:t xml:space="preserve"> </w:t>
      </w:r>
      <w:r>
        <w:t xml:space="preserve">,</w:t>
      </w:r>
      <w:r>
        <w:t xml:space="preserve"> </w:t>
      </w:r>
      <w:hyperlink r:id="rId70">
        <w:r>
          <w:rPr>
            <w:rStyle w:val="af"/>
          </w:rPr>
          <w:t xml:space="preserve">(opengauss.org)</w:t>
        </w:r>
      </w:hyperlink>
      <w:r>
        <w:t xml:space="preserve"> </w:t>
      </w:r>
      <w:r>
        <w:t xml:space="preserve">. Timeline typically</w:t>
      </w:r>
      <w:r>
        <w:t xml:space="preserve"> </w:t>
      </w:r>
      <w:r>
        <w:rPr>
          <w:b/>
          <w:bCs/>
        </w:rPr>
        <w:t xml:space="preserve">weeks to months</w:t>
      </w:r>
      <w:r>
        <w:t xml:space="preserve"> </w:t>
      </w:r>
      <w:r>
        <w:t xml:space="preserve">with comprehensive testing.</w:t>
      </w:r>
    </w:p>
    <w:bookmarkEnd w:id="71"/>
    <w:bookmarkStart w:id="73" w:name="opengauss-vs.-oracle"/>
    <w:p>
      <w:pPr>
        <w:pStyle w:val="3"/>
      </w:pPr>
      <w:r>
        <w:t xml:space="preserve">4.3 OpenGauss vs. Oracle</w:t>
      </w:r>
    </w:p>
    <w:tbl>
      <w:tblPr>
        <w:tblStyle w:val="Table"/>
        <w:tblW w:type="pct" w:w="5000"/>
        <w:jc w:val="left"/>
        <w:tblLayout w:type="fixed"/>
        <w:tblLook w:firstRow="1" w:lastRow="0" w:firstColumn="0" w:lastColumn="0" w:noHBand="0" w:noVBand="0" w:val="0020"/>
      </w:tblPr>
      <w:tblGrid>
        <w:gridCol w:w="1675"/>
        <w:gridCol w:w="1675"/>
        <w:gridCol w:w="1218"/>
        <w:gridCol w:w="3350"/>
      </w:tblGrid>
      <w:tr>
        <w:trPr>
          <w:tblHeader w:val="on"/>
        </w:trPr>
        <w:tc>
          <w:tcPr/>
          <w:p>
            <w:pPr>
              <w:pStyle w:val="Compact"/>
              <w:jc w:val="left"/>
            </w:pPr>
            <w:r>
              <w:t xml:space="preserve">Dimension</w:t>
            </w:r>
          </w:p>
        </w:tc>
        <w:tc>
          <w:tcPr/>
          <w:p>
            <w:pPr>
              <w:pStyle w:val="Compact"/>
              <w:jc w:val="left"/>
            </w:pPr>
            <w:r>
              <w:t xml:space="preserve">OpenGauss</w:t>
            </w:r>
          </w:p>
        </w:tc>
        <w:tc>
          <w:tcPr/>
          <w:p>
            <w:pPr>
              <w:pStyle w:val="Compact"/>
              <w:jc w:val="left"/>
            </w:pPr>
            <w:r>
              <w:t xml:space="preserve">Oracle</w:t>
            </w:r>
          </w:p>
        </w:tc>
        <w:tc>
          <w:tcPr/>
          <w:p>
            <w:pPr>
              <w:pStyle w:val="Compact"/>
              <w:jc w:val="left"/>
            </w:pPr>
            <w:r>
              <w:t xml:space="preserve">Strategic Implication</w:t>
            </w:r>
          </w:p>
        </w:tc>
      </w:tr>
      <w:tr>
        <w:tc>
          <w:tcPr/>
          <w:p>
            <w:pPr>
              <w:pStyle w:val="Compact"/>
              <w:jc w:val="left"/>
            </w:pPr>
            <w:r>
              <w:rPr>
                <w:b/>
                <w:bCs/>
              </w:rPr>
              <w:t xml:space="preserve">License cost</w:t>
            </w:r>
          </w:p>
        </w:tc>
        <w:tc>
          <w:tcPr/>
          <w:p>
            <w:pPr>
              <w:pStyle w:val="Compact"/>
              <w:jc w:val="left"/>
            </w:pPr>
            <w:r>
              <w:rPr>
                <w:b/>
                <w:bCs/>
              </w:rPr>
              <w:t xml:space="preserve">$0</w:t>
            </w:r>
          </w:p>
        </w:tc>
        <w:tc>
          <w:tcPr/>
          <w:p>
            <w:pPr>
              <w:pStyle w:val="Compact"/>
              <w:jc w:val="left"/>
            </w:pPr>
            <w:r>
              <w:t xml:space="preserve">$47,500/core + 22% maintenance</w:t>
            </w:r>
          </w:p>
        </w:tc>
        <w:tc>
          <w:tcPr/>
          <w:p>
            <w:pPr>
              <w:pStyle w:val="Compact"/>
              <w:jc w:val="left"/>
            </w:pPr>
            <w:r>
              <w:rPr>
                <w:b/>
                <w:bCs/>
              </w:rPr>
              <w:t xml:space="preserve">Millions in immediate savings</w:t>
            </w:r>
            <w:r>
              <w:t xml:space="preserve"> </w:t>
            </w:r>
            <w:hyperlink r:id="rId58">
              <w:r>
                <w:rPr>
                  <w:rStyle w:val="af"/>
                </w:rPr>
                <w:t xml:space="preserve">(connectedsocialmedia.com)</w:t>
              </w:r>
            </w:hyperlink>
          </w:p>
        </w:tc>
      </w:tr>
      <w:tr>
        <w:tc>
          <w:tcPr/>
          <w:p>
            <w:pPr>
              <w:pStyle w:val="Compact"/>
              <w:jc w:val="left"/>
            </w:pPr>
            <w:r>
              <w:rPr>
                <w:b/>
                <w:bCs/>
              </w:rPr>
              <w:t xml:space="preserve">3-year TCO</w:t>
            </w:r>
          </w:p>
        </w:tc>
        <w:tc>
          <w:tcPr/>
          <w:p>
            <w:pPr>
              <w:pStyle w:val="Compact"/>
              <w:jc w:val="left"/>
            </w:pPr>
            <w:r>
              <w:t xml:space="preserve">Baseline</w:t>
            </w:r>
          </w:p>
        </w:tc>
        <w:tc>
          <w:tcPr/>
          <w:p>
            <w:pPr>
              <w:pStyle w:val="Compact"/>
              <w:jc w:val="left"/>
            </w:pPr>
            <w:r>
              <w:rPr>
                <w:b/>
                <w:bCs/>
              </w:rPr>
              <w:t xml:space="preserve">60-70% higher</w:t>
            </w:r>
          </w:p>
        </w:tc>
        <w:tc>
          <w:tcPr/>
          <w:p>
            <w:pPr>
              <w:pStyle w:val="Compact"/>
              <w:jc w:val="left"/>
            </w:pPr>
            <w:r>
              <w:t xml:space="preserve">Compounding cost advantage</w:t>
            </w:r>
          </w:p>
        </w:tc>
      </w:tr>
      <w:tr>
        <w:tc>
          <w:tcPr/>
          <w:p>
            <w:pPr>
              <w:pStyle w:val="Compact"/>
              <w:jc w:val="left"/>
            </w:pPr>
            <w:r>
              <w:rPr>
                <w:b/>
                <w:bCs/>
              </w:rPr>
              <w:t xml:space="preserve">RAC/HA</w:t>
            </w:r>
          </w:p>
        </w:tc>
        <w:tc>
          <w:tcPr/>
          <w:p>
            <w:pPr>
              <w:pStyle w:val="Compact"/>
              <w:jc w:val="left"/>
            </w:pPr>
            <w:r>
              <w:t xml:space="preserve">Distributed with ShardingSphere</w:t>
            </w:r>
          </w:p>
        </w:tc>
        <w:tc>
          <w:tcPr/>
          <w:p>
            <w:pPr>
              <w:pStyle w:val="Compact"/>
              <w:jc w:val="left"/>
            </w:pPr>
            <w:r>
              <w:t xml:space="preserve">Mature shared-storage clustering</w:t>
            </w:r>
          </w:p>
        </w:tc>
        <w:tc>
          <w:tcPr/>
          <w:p>
            <w:pPr>
              <w:pStyle w:val="Compact"/>
              <w:jc w:val="left"/>
            </w:pPr>
            <w:r>
              <w:rPr>
                <w:b/>
                <w:bCs/>
              </w:rPr>
              <w:t xml:space="preserve">Comparable availability, lower complexity</w:t>
            </w:r>
          </w:p>
        </w:tc>
      </w:tr>
      <w:tr>
        <w:tc>
          <w:tcPr/>
          <w:p>
            <w:pPr>
              <w:pStyle w:val="Compact"/>
              <w:jc w:val="left"/>
            </w:pPr>
            <w:r>
              <w:rPr>
                <w:b/>
                <w:bCs/>
              </w:rPr>
              <w:t xml:space="preserve">Exadata performance</w:t>
            </w:r>
          </w:p>
        </w:tc>
        <w:tc>
          <w:tcPr/>
          <w:p>
            <w:pPr>
              <w:pStyle w:val="Compact"/>
              <w:jc w:val="left"/>
            </w:pPr>
            <w:r>
              <w:t xml:space="preserve">MOT competitive on standard hardware</w:t>
            </w:r>
          </w:p>
        </w:tc>
        <w:tc>
          <w:tcPr/>
          <w:p>
            <w:pPr>
              <w:pStyle w:val="Compact"/>
              <w:jc w:val="left"/>
            </w:pPr>
            <w:r>
              <w:t xml:space="preserve">Optimized engineered system</w:t>
            </w:r>
          </w:p>
        </w:tc>
        <w:tc>
          <w:tcPr/>
          <w:p>
            <w:pPr>
              <w:pStyle w:val="Compact"/>
              <w:jc w:val="left"/>
            </w:pPr>
            <w:r>
              <w:rPr>
                <w:b/>
                <w:bCs/>
              </w:rPr>
              <w:t xml:space="preserve">Avoid hardware lock-in</w:t>
            </w:r>
          </w:p>
        </w:tc>
      </w:tr>
      <w:tr>
        <w:tc>
          <w:tcPr/>
          <w:p>
            <w:pPr>
              <w:pStyle w:val="Compact"/>
              <w:jc w:val="left"/>
            </w:pPr>
            <w:r>
              <w:rPr>
                <w:b/>
                <w:bCs/>
              </w:rPr>
              <w:t xml:space="preserve">Autonomous capabilities</w:t>
            </w:r>
          </w:p>
        </w:tc>
        <w:tc>
          <w:tcPr/>
          <w:p>
            <w:pPr>
              <w:pStyle w:val="Compact"/>
              <w:jc w:val="left"/>
            </w:pPr>
            <w:r>
              <w:t xml:space="preserve">DBMind AI-native</w:t>
            </w:r>
          </w:p>
        </w:tc>
        <w:tc>
          <w:tcPr/>
          <w:p>
            <w:pPr>
              <w:pStyle w:val="Compact"/>
              <w:jc w:val="left"/>
            </w:pPr>
            <w:r>
              <w:t xml:space="preserve">Autonomous Database</w:t>
            </w:r>
          </w:p>
        </w:tc>
        <w:tc>
          <w:tcPr/>
          <w:p>
            <w:pPr>
              <w:pStyle w:val="Compact"/>
              <w:jc w:val="left"/>
            </w:pPr>
            <w:r>
              <w:rPr>
                <w:b/>
                <w:bCs/>
              </w:rPr>
              <w:t xml:space="preserve">Emerging parity, no cloud dependency</w:t>
            </w:r>
          </w:p>
        </w:tc>
      </w:tr>
      <w:tr>
        <w:tc>
          <w:tcPr/>
          <w:p>
            <w:pPr>
              <w:pStyle w:val="Compact"/>
              <w:jc w:val="left"/>
            </w:pPr>
            <w:r>
              <w:rPr>
                <w:b/>
                <w:bCs/>
              </w:rPr>
              <w:t xml:space="preserve">Migration effort</w:t>
            </w:r>
          </w:p>
        </w:tc>
        <w:tc>
          <w:tcPr/>
          <w:p>
            <w:pPr>
              <w:pStyle w:val="Compact"/>
              <w:jc w:val="left"/>
            </w:pPr>
            <w:r>
              <w:rPr>
                <w:b/>
                <w:bCs/>
              </w:rPr>
              <w:t xml:space="preserve">High: PL/SQL, proprietary features</w:t>
            </w:r>
          </w:p>
        </w:tc>
        <w:tc>
          <w:tcPr/>
          <w:p>
            <w:pPr>
              <w:pStyle w:val="Compact"/>
              <w:jc w:val="left"/>
            </w:pPr>
            <w:r>
              <w:t xml:space="preserve">N/A</w:t>
            </w:r>
          </w:p>
        </w:tc>
        <w:tc>
          <w:tcPr/>
          <w:p>
            <w:pPr>
              <w:pStyle w:val="Compact"/>
              <w:jc w:val="left"/>
            </w:pPr>
            <w:r>
              <w:rPr>
                <w:b/>
                <w:bCs/>
              </w:rPr>
              <w:t xml:space="preserve">3-6 months typical for complex apps</w:t>
            </w:r>
            <w:r>
              <w:t xml:space="preserve"> </w:t>
            </w:r>
            <w:hyperlink r:id="rId72">
              <w:r>
                <w:rPr>
                  <w:rStyle w:val="af"/>
                </w:rPr>
                <w:t xml:space="preserve">(opengauss.org)</w:t>
              </w:r>
            </w:hyperlink>
          </w:p>
        </w:tc>
      </w:tr>
    </w:tbl>
    <w:p>
      <w:pPr>
        <w:pStyle w:val="a0"/>
      </w:pPr>
      <w:r>
        <w:rPr>
          <w:b/>
          <w:bCs/>
        </w:rPr>
        <w:t xml:space="preserve">Critical consideration</w:t>
      </w:r>
      <w:r>
        <w:t xml:space="preserve">: Oracle migration</w:t>
      </w:r>
      <w:r>
        <w:t xml:space="preserve"> </w:t>
      </w:r>
      <w:r>
        <w:rPr>
          <w:b/>
          <w:bCs/>
        </w:rPr>
        <w:t xml:space="preserve">complexity and effort are substantial</w:t>
      </w:r>
      <w:r>
        <w:t xml:space="preserve"> </w:t>
      </w:r>
      <w:r>
        <w:t xml:space="preserve">but</w:t>
      </w:r>
      <w:r>
        <w:t xml:space="preserve"> </w:t>
      </w:r>
      <w:r>
        <w:rPr>
          <w:b/>
          <w:bCs/>
        </w:rPr>
        <w:t xml:space="preserve">justified by savings magnitude</w:t>
      </w:r>
      <w:r>
        <w:t xml:space="preserve"> </w:t>
      </w:r>
      <w:r>
        <w:t xml:space="preserve">for long-term deployments. The</w:t>
      </w:r>
      <w:r>
        <w:t xml:space="preserve"> </w:t>
      </w:r>
      <w:r>
        <w:rPr>
          <w:b/>
          <w:bCs/>
        </w:rPr>
        <w:t xml:space="preserve">ICBC 200-service migration</w:t>
      </w:r>
      <w:r>
        <w:t xml:space="preserve"> </w:t>
      </w:r>
      <w:r>
        <w:t xml:space="preserve">demonstrates organizational commitment and execution feasibility at scale</w:t>
      </w:r>
      <w:r>
        <w:t xml:space="preserve"> </w:t>
      </w:r>
      <w:hyperlink r:id="rId48">
        <w:r>
          <w:rPr>
            <w:rStyle w:val="af"/>
          </w:rPr>
          <w:t xml:space="preserve">(Source)</w:t>
        </w:r>
      </w:hyperlink>
      <w:r>
        <w:t xml:space="preserve"> </w:t>
      </w:r>
      <w:r>
        <w:t xml:space="preserve">.</w:t>
      </w:r>
    </w:p>
    <w:bookmarkEnd w:id="73"/>
    <w:bookmarkEnd w:id="74"/>
    <w:bookmarkStart w:id="86" w:name="practical-implementation-guidance"/>
    <w:p>
      <w:pPr>
        <w:pStyle w:val="2"/>
      </w:pPr>
      <w:r>
        <w:t xml:space="preserve">5. Practical Implementation Guidance</w:t>
      </w:r>
    </w:p>
    <w:bookmarkStart w:id="80" w:name="deployment-architecture-strategies"/>
    <w:p>
      <w:pPr>
        <w:pStyle w:val="3"/>
      </w:pPr>
      <w:r>
        <w:t xml:space="preserve">5.1 Deployment Architecture Strategies</w:t>
      </w:r>
    </w:p>
    <w:bookmarkStart w:id="76" w:name="deployment-modes"/>
    <w:p>
      <w:pPr>
        <w:pStyle w:val="4"/>
      </w:pPr>
      <w:r>
        <w:t xml:space="preserve">5.1.1 Deployment Modes</w:t>
      </w:r>
    </w:p>
    <w:tbl>
      <w:tblPr>
        <w:tblStyle w:val="Table"/>
        <w:tblW w:type="pct" w:w="5000"/>
        <w:jc w:val="left"/>
        <w:tblLayout w:type="fixed"/>
        <w:tblLook w:firstRow="1" w:lastRow="0" w:firstColumn="0" w:lastColumn="0" w:noHBand="0" w:noVBand="0" w:val="0020"/>
      </w:tblPr>
      <w:tblGrid>
        <w:gridCol w:w="969"/>
        <w:gridCol w:w="2101"/>
        <w:gridCol w:w="1454"/>
        <w:gridCol w:w="3394"/>
      </w:tblGrid>
      <w:tr>
        <w:trPr>
          <w:tblHeader w:val="on"/>
        </w:trPr>
        <w:tc>
          <w:tcPr/>
          <w:p>
            <w:pPr>
              <w:pStyle w:val="Compact"/>
              <w:jc w:val="left"/>
            </w:pPr>
            <w:r>
              <w:t xml:space="preserve">Mode</w:t>
            </w:r>
          </w:p>
        </w:tc>
        <w:tc>
          <w:tcPr/>
          <w:p>
            <w:pPr>
              <w:pStyle w:val="Compact"/>
              <w:jc w:val="left"/>
            </w:pPr>
            <w:r>
              <w:t xml:space="preserve">Configuration</w:t>
            </w:r>
          </w:p>
        </w:tc>
        <w:tc>
          <w:tcPr/>
          <w:p>
            <w:pPr>
              <w:pStyle w:val="Compact"/>
              <w:jc w:val="left"/>
            </w:pPr>
            <w:r>
              <w:t xml:space="preserve">RTO/RPO</w:t>
            </w:r>
          </w:p>
        </w:tc>
        <w:tc>
          <w:tcPr/>
          <w:p>
            <w:pPr>
              <w:pStyle w:val="Compact"/>
              <w:jc w:val="left"/>
            </w:pPr>
            <w:r>
              <w:t xml:space="preserve">Appropriate Use Case</w:t>
            </w:r>
          </w:p>
        </w:tc>
      </w:tr>
      <w:tr>
        <w:tc>
          <w:tcPr/>
          <w:p>
            <w:pPr>
              <w:pStyle w:val="Compact"/>
              <w:jc w:val="left"/>
            </w:pPr>
            <w:r>
              <w:rPr>
                <w:b/>
                <w:bCs/>
              </w:rPr>
              <w:t xml:space="preserve">Standalone</w:t>
            </w:r>
          </w:p>
        </w:tc>
        <w:tc>
          <w:tcPr/>
          <w:p>
            <w:pPr>
              <w:pStyle w:val="Compact"/>
              <w:jc w:val="left"/>
            </w:pPr>
            <w:r>
              <w:t xml:space="preserve">Single instance</w:t>
            </w:r>
          </w:p>
        </w:tc>
        <w:tc>
          <w:tcPr/>
          <w:p>
            <w:pPr>
              <w:pStyle w:val="Compact"/>
              <w:jc w:val="left"/>
            </w:pPr>
            <w:r>
              <w:t xml:space="preserve">Uncontrolled</w:t>
            </w:r>
          </w:p>
        </w:tc>
        <w:tc>
          <w:tcPr/>
          <w:p>
            <w:pPr>
              <w:pStyle w:val="Compact"/>
              <w:jc w:val="left"/>
            </w:pPr>
            <w:r>
              <w:t xml:space="preserve">Development, testing, small production</w:t>
            </w:r>
          </w:p>
        </w:tc>
      </w:tr>
      <w:tr>
        <w:tc>
          <w:tcPr/>
          <w:p>
            <w:pPr>
              <w:pStyle w:val="Compact"/>
              <w:jc w:val="left"/>
            </w:pPr>
            <w:r>
              <w:rPr>
                <w:b/>
                <w:bCs/>
              </w:rPr>
              <w:t xml:space="preserve">Primary-Standby</w:t>
            </w:r>
          </w:p>
        </w:tc>
        <w:tc>
          <w:tcPr/>
          <w:p>
            <w:pPr>
              <w:pStyle w:val="Compact"/>
              <w:jc w:val="left"/>
            </w:pPr>
            <w:r>
              <w:t xml:space="preserve">Synchronous replication</w:t>
            </w:r>
          </w:p>
        </w:tc>
        <w:tc>
          <w:tcPr/>
          <w:p>
            <w:pPr>
              <w:pStyle w:val="Compact"/>
              <w:jc w:val="left"/>
            </w:pPr>
            <w:r>
              <w:rPr>
                <w:b/>
                <w:bCs/>
              </w:rPr>
              <w:t xml:space="preserve">RPO=0, RTO&lt;10s</w:t>
            </w:r>
          </w:p>
        </w:tc>
        <w:tc>
          <w:tcPr/>
          <w:p>
            <w:pPr>
              <w:pStyle w:val="Compact"/>
              <w:jc w:val="left"/>
            </w:pPr>
            <w:r>
              <w:t xml:space="preserve">Standard production HA requirements</w:t>
            </w:r>
          </w:p>
        </w:tc>
      </w:tr>
      <w:tr>
        <w:tc>
          <w:tcPr/>
          <w:p>
            <w:pPr>
              <w:pStyle w:val="Compact"/>
              <w:jc w:val="left"/>
            </w:pPr>
            <w:r>
              <w:rPr>
                <w:b/>
                <w:bCs/>
              </w:rPr>
              <w:t xml:space="preserve">One-Primary-Multiple-Standby</w:t>
            </w:r>
          </w:p>
        </w:tc>
        <w:tc>
          <w:tcPr/>
          <w:p>
            <w:pPr>
              <w:pStyle w:val="Compact"/>
              <w:jc w:val="left"/>
            </w:pPr>
            <w:r>
              <w:t xml:space="preserve">Up to 8 standbys, Paxos consensus</w:t>
            </w:r>
          </w:p>
        </w:tc>
        <w:tc>
          <w:tcPr/>
          <w:p>
            <w:pPr>
              <w:pStyle w:val="Compact"/>
              <w:jc w:val="left"/>
            </w:pPr>
            <w:r>
              <w:rPr>
                <w:b/>
                <w:bCs/>
              </w:rPr>
              <w:t xml:space="preserve">99.99% reliability with 3 copies</w:t>
            </w:r>
          </w:p>
        </w:tc>
        <w:tc>
          <w:tcPr/>
          <w:p>
            <w:pPr>
              <w:pStyle w:val="Compact"/>
              <w:jc w:val="left"/>
            </w:pPr>
            <w:r>
              <w:t xml:space="preserve">Critical production, read scaling, DR</w:t>
            </w:r>
            <w:r>
              <w:t xml:space="preserve"> </w:t>
            </w:r>
            <w:hyperlink r:id="rId75">
              <w:r>
                <w:rPr>
                  <w:rStyle w:val="af"/>
                </w:rPr>
                <w:t xml:space="preserve">(opengauss.org)</w:t>
              </w:r>
            </w:hyperlink>
          </w:p>
        </w:tc>
      </w:tr>
    </w:tbl>
    <w:p>
      <w:pPr>
        <w:pStyle w:val="a0"/>
      </w:pPr>
      <w:r>
        <w:rPr>
          <w:b/>
          <w:bCs/>
        </w:rPr>
        <w:t xml:space="preserve">Cross-AZ deployment</w:t>
      </w:r>
      <w:r>
        <w:t xml:space="preserve"> </w:t>
      </w:r>
      <w:r>
        <w:t xml:space="preserve">extends availability to datacenter-level failures, with geographic distribution of standbys enabling disaster recovery topologies.</w:t>
      </w:r>
    </w:p>
    <w:bookmarkEnd w:id="76"/>
    <w:bookmarkStart w:id="78" w:name="cloud-deployment-options"/>
    <w:p>
      <w:pPr>
        <w:pStyle w:val="4"/>
      </w:pPr>
      <w:r>
        <w:t xml:space="preserve">5.1.2 Cloud Deployment Options</w:t>
      </w:r>
    </w:p>
    <w:tbl>
      <w:tblPr>
        <w:tblStyle w:val="Table"/>
        <w:tblW w:type="pct" w:w="5000"/>
        <w:jc w:val="left"/>
        <w:tblLayout w:type="fixed"/>
        <w:tblLook w:firstRow="1" w:lastRow="0" w:firstColumn="0" w:lastColumn="0" w:noHBand="0" w:noVBand="0" w:val="0020"/>
      </w:tblPr>
      <w:tblGrid>
        <w:gridCol w:w="3344"/>
        <w:gridCol w:w="1936"/>
        <w:gridCol w:w="2640"/>
      </w:tblGrid>
      <w:tr>
        <w:trPr>
          <w:tblHeader w:val="on"/>
        </w:trPr>
        <w:tc>
          <w:tcPr/>
          <w:p>
            <w:pPr>
              <w:pStyle w:val="Compact"/>
              <w:jc w:val="left"/>
            </w:pPr>
            <w:r>
              <w:t xml:space="preserve">Deployment Pattern</w:t>
            </w:r>
          </w:p>
        </w:tc>
        <w:tc>
          <w:tcPr/>
          <w:p>
            <w:pPr>
              <w:pStyle w:val="Compact"/>
              <w:jc w:val="left"/>
            </w:pPr>
            <w:r>
              <w:t xml:space="preserve">Technology</w:t>
            </w:r>
          </w:p>
        </w:tc>
        <w:tc>
          <w:tcPr/>
          <w:p>
            <w:pPr>
              <w:pStyle w:val="Compact"/>
              <w:jc w:val="left"/>
            </w:pPr>
            <w:r>
              <w:t xml:space="preserve">Characteristics</w:t>
            </w:r>
          </w:p>
        </w:tc>
      </w:tr>
      <w:tr>
        <w:tc>
          <w:tcPr/>
          <w:p>
            <w:pPr>
              <w:pStyle w:val="Compact"/>
              <w:jc w:val="left"/>
            </w:pPr>
            <w:r>
              <w:rPr>
                <w:b/>
                <w:bCs/>
              </w:rPr>
              <w:t xml:space="preserve">Public cloud managed</w:t>
            </w:r>
          </w:p>
        </w:tc>
        <w:tc>
          <w:tcPr/>
          <w:p>
            <w:pPr>
              <w:pStyle w:val="Compact"/>
              <w:jc w:val="left"/>
            </w:pPr>
            <w:r>
              <w:t xml:space="preserve">Huawei Cloud GaussDB</w:t>
            </w:r>
          </w:p>
        </w:tc>
        <w:tc>
          <w:tcPr/>
          <w:p>
            <w:pPr>
              <w:pStyle w:val="Compact"/>
              <w:jc w:val="left"/>
            </w:pPr>
            <w:r>
              <w:t xml:space="preserve">Automated provisioning, scaling, maintenance</w:t>
            </w:r>
          </w:p>
        </w:tc>
      </w:tr>
      <w:tr>
        <w:tc>
          <w:tcPr/>
          <w:p>
            <w:pPr>
              <w:pStyle w:val="Compact"/>
              <w:jc w:val="left"/>
            </w:pPr>
            <w:r>
              <w:rPr>
                <w:b/>
                <w:bCs/>
              </w:rPr>
              <w:t xml:space="preserve">Private cloud Kubernetes</w:t>
            </w:r>
          </w:p>
        </w:tc>
        <w:tc>
          <w:tcPr/>
          <w:p>
            <w:pPr>
              <w:pStyle w:val="Compact"/>
              <w:jc w:val="left"/>
            </w:pPr>
            <w:r>
              <w:t xml:space="preserve">OpenGauss Operator + Helm</w:t>
            </w:r>
          </w:p>
        </w:tc>
        <w:tc>
          <w:tcPr/>
          <w:p>
            <w:pPr>
              <w:pStyle w:val="Compact"/>
              <w:jc w:val="left"/>
            </w:pPr>
            <w:r>
              <w:t xml:space="preserve">Cloud-native operational patterns, infrastructure control</w:t>
            </w:r>
          </w:p>
        </w:tc>
      </w:tr>
      <w:tr>
        <w:tc>
          <w:tcPr/>
          <w:p>
            <w:pPr>
              <w:pStyle w:val="Compact"/>
              <w:jc w:val="left"/>
            </w:pPr>
            <w:r>
              <w:rPr>
                <w:b/>
                <w:bCs/>
              </w:rPr>
              <w:t xml:space="preserve">Hybrid cloud</w:t>
            </w:r>
          </w:p>
        </w:tc>
        <w:tc>
          <w:tcPr/>
          <w:p>
            <w:pPr>
              <w:pStyle w:val="Compact"/>
              <w:jc w:val="left"/>
            </w:pPr>
            <w:r>
              <w:t xml:space="preserve">Cross-region replication</w:t>
            </w:r>
          </w:p>
        </w:tc>
        <w:tc>
          <w:tcPr/>
          <w:p>
            <w:pPr>
              <w:pStyle w:val="Compact"/>
              <w:jc w:val="left"/>
            </w:pPr>
            <w:r>
              <w:t xml:space="preserve">Cloud-bursting, data residency compliance</w:t>
            </w:r>
            <w:r>
              <w:t xml:space="preserve"> </w:t>
            </w:r>
            <w:hyperlink r:id="rId77">
              <w:r>
                <w:rPr>
                  <w:rStyle w:val="af"/>
                </w:rPr>
                <w:t xml:space="preserve">(opengauss.org)</w:t>
              </w:r>
            </w:hyperlink>
            <w:r>
              <w:t xml:space="preserve"> </w:t>
            </w:r>
            <w:r>
              <w:t xml:space="preserve">,</w:t>
            </w:r>
            <w:r>
              <w:t xml:space="preserve"> </w:t>
            </w:r>
            <w:hyperlink r:id="rId21">
              <w:r>
                <w:rPr>
                  <w:rStyle w:val="af"/>
                </w:rPr>
                <w:t xml:space="preserve">(博客园)</w:t>
              </w:r>
            </w:hyperlink>
          </w:p>
        </w:tc>
      </w:tr>
    </w:tbl>
    <w:bookmarkEnd w:id="78"/>
    <w:bookmarkStart w:id="79" w:name="container-and-orchestration"/>
    <w:p>
      <w:pPr>
        <w:pStyle w:val="4"/>
      </w:pPr>
      <w:r>
        <w:t xml:space="preserve">5.1.3 Container and Orchestration</w:t>
      </w:r>
    </w:p>
    <w:p>
      <w:pPr>
        <w:pStyle w:val="FirstParagraph"/>
      </w:pPr>
      <w:r>
        <w:rPr>
          <w:b/>
          <w:bCs/>
        </w:rPr>
        <w:t xml:space="preserve">Kubernetes StatefulSet deployment</w:t>
      </w:r>
      <w:r>
        <w:t xml:space="preserve"> </w:t>
      </w:r>
      <w:r>
        <w:t xml:space="preserve">provides:</w:t>
      </w:r>
      <w:r>
        <w:t xml:space="preserve"> </w:t>
      </w:r>
      <w:r>
        <w:t xml:space="preserve">- Persistent volume management for database storage</w:t>
      </w:r>
      <w:r>
        <w:t xml:space="preserve"> </w:t>
      </w:r>
      <w:r>
        <w:t xml:space="preserve">- Ordered deployment and graceful scaling</w:t>
      </w:r>
      <w:r>
        <w:t xml:space="preserve"> </w:t>
      </w:r>
      <w:r>
        <w:t xml:space="preserve">- Automated failover and recovery procedures</w:t>
      </w:r>
      <w:r>
        <w:t xml:space="preserve"> </w:t>
      </w:r>
      <w:r>
        <w:t xml:space="preserve">- Helm-chart parameterized configuration for environment consistency</w:t>
      </w:r>
    </w:p>
    <w:p>
      <w:pPr>
        <w:pStyle w:val="a0"/>
      </w:pPr>
      <w:r>
        <w:rPr>
          <w:b/>
          <w:bCs/>
        </w:rPr>
        <w:t xml:space="preserve">Docker Compose</w:t>
      </w:r>
      <w:r>
        <w:t xml:space="preserve"> </w:t>
      </w:r>
      <w:r>
        <w:t xml:space="preserve">supports development environment simplicity with multi-container orchestration matching production architecture patterns.</w:t>
      </w:r>
    </w:p>
    <w:bookmarkEnd w:id="79"/>
    <w:bookmarkEnd w:id="80"/>
    <w:bookmarkStart w:id="81" w:name="migration-pathways"/>
    <w:p>
      <w:pPr>
        <w:pStyle w:val="3"/>
      </w:pPr>
      <w:r>
        <w:t xml:space="preserve">5.2 Migration Pathways</w:t>
      </w:r>
    </w:p>
    <w:tbl>
      <w:tblPr>
        <w:tblStyle w:val="Table"/>
        <w:tblW w:type="pct" w:w="5000"/>
        <w:jc w:val="left"/>
        <w:tblLayout w:type="fixed"/>
        <w:tblLook w:firstRow="1" w:lastRow="0" w:firstColumn="0" w:lastColumn="0" w:noHBand="0" w:noVBand="0" w:val="0020"/>
      </w:tblPr>
      <w:tblGrid>
        <w:gridCol w:w="1293"/>
        <w:gridCol w:w="1293"/>
        <w:gridCol w:w="1939"/>
        <w:gridCol w:w="1616"/>
        <w:gridCol w:w="1777"/>
      </w:tblGrid>
      <w:tr>
        <w:trPr>
          <w:tblHeader w:val="on"/>
        </w:trPr>
        <w:tc>
          <w:tcPr/>
          <w:p>
            <w:pPr>
              <w:pStyle w:val="Compact"/>
              <w:jc w:val="left"/>
            </w:pPr>
            <w:r>
              <w:t xml:space="preserve">Source</w:t>
            </w:r>
          </w:p>
        </w:tc>
        <w:tc>
          <w:tcPr/>
          <w:p>
            <w:pPr>
              <w:pStyle w:val="Compact"/>
              <w:jc w:val="left"/>
            </w:pPr>
            <w:r>
              <w:t xml:space="preserve">Method</w:t>
            </w:r>
          </w:p>
        </w:tc>
        <w:tc>
          <w:tcPr/>
          <w:p>
            <w:pPr>
              <w:pStyle w:val="Compact"/>
              <w:jc w:val="left"/>
            </w:pPr>
            <w:r>
              <w:t xml:space="preserve">Effort Level</w:t>
            </w:r>
          </w:p>
        </w:tc>
        <w:tc>
          <w:tcPr/>
          <w:p>
            <w:pPr>
              <w:pStyle w:val="Compact"/>
              <w:jc w:val="left"/>
            </w:pPr>
            <w:r>
              <w:t xml:space="preserve">Timeline</w:t>
            </w:r>
          </w:p>
        </w:tc>
        <w:tc>
          <w:tcPr/>
          <w:p>
            <w:pPr>
              <w:pStyle w:val="Compact"/>
              <w:jc w:val="left"/>
            </w:pPr>
            <w:r>
              <w:t xml:space="preserve">Key Tools</w:t>
            </w:r>
          </w:p>
        </w:tc>
      </w:tr>
      <w:tr>
        <w:tc>
          <w:tcPr/>
          <w:p>
            <w:pPr>
              <w:pStyle w:val="Compact"/>
              <w:jc w:val="left"/>
            </w:pPr>
            <w:r>
              <w:rPr>
                <w:b/>
                <w:bCs/>
              </w:rPr>
              <w:t xml:space="preserve">PostgreSQL</w:t>
            </w:r>
          </w:p>
        </w:tc>
        <w:tc>
          <w:tcPr/>
          <w:p>
            <w:pPr>
              <w:pStyle w:val="Compact"/>
              <w:jc w:val="left"/>
            </w:pPr>
            <w:r>
              <w:t xml:space="preserve">Logical replication, pg_dump/restore</w:t>
            </w:r>
          </w:p>
        </w:tc>
        <w:tc>
          <w:tcPr/>
          <w:p>
            <w:pPr>
              <w:pStyle w:val="Compact"/>
              <w:jc w:val="left"/>
            </w:pPr>
            <w:r>
              <w:rPr>
                <w:b/>
                <w:bCs/>
              </w:rPr>
              <w:t xml:space="preserve">Low</w:t>
            </w:r>
          </w:p>
        </w:tc>
        <w:tc>
          <w:tcPr/>
          <w:p>
            <w:pPr>
              <w:pStyle w:val="Compact"/>
              <w:jc w:val="left"/>
            </w:pPr>
            <w:r>
              <w:t xml:space="preserve">Days to weeks</w:t>
            </w:r>
          </w:p>
        </w:tc>
        <w:tc>
          <w:tcPr/>
          <w:p>
            <w:pPr>
              <w:pStyle w:val="Compact"/>
              <w:jc w:val="left"/>
            </w:pPr>
            <w:r>
              <w:t xml:space="preserve">Native PostgreSQL tools, high compatibility</w:t>
            </w:r>
            <w:r>
              <w:t xml:space="preserve"> </w:t>
            </w:r>
            <w:hyperlink r:id="rId61">
              <w:r>
                <w:rPr>
                  <w:rStyle w:val="af"/>
                </w:rPr>
                <w:t xml:space="preserve">(墨天轮)</w:t>
              </w:r>
            </w:hyperlink>
          </w:p>
        </w:tc>
      </w:tr>
      <w:tr>
        <w:tc>
          <w:tcPr/>
          <w:p>
            <w:pPr>
              <w:pStyle w:val="Compact"/>
              <w:jc w:val="left"/>
            </w:pPr>
            <w:r>
              <w:rPr>
                <w:b/>
                <w:bCs/>
              </w:rPr>
              <w:t xml:space="preserve">MySQL</w:t>
            </w:r>
          </w:p>
        </w:tc>
        <w:tc>
          <w:tcPr/>
          <w:p>
            <w:pPr>
              <w:pStyle w:val="Compact"/>
              <w:jc w:val="left"/>
            </w:pPr>
            <w:r>
              <w:t xml:space="preserve">Schema conversion + data migration</w:t>
            </w:r>
          </w:p>
        </w:tc>
        <w:tc>
          <w:tcPr/>
          <w:p>
            <w:pPr>
              <w:pStyle w:val="Compact"/>
              <w:jc w:val="left"/>
            </w:pPr>
            <w:r>
              <w:rPr>
                <w:b/>
                <w:bCs/>
              </w:rPr>
              <w:t xml:space="preserve">Medium</w:t>
            </w:r>
          </w:p>
        </w:tc>
        <w:tc>
          <w:tcPr/>
          <w:p>
            <w:pPr>
              <w:pStyle w:val="Compact"/>
              <w:jc w:val="left"/>
            </w:pPr>
            <w:r>
              <w:t xml:space="preserve">Weeks to months</w:t>
            </w:r>
          </w:p>
        </w:tc>
        <w:tc>
          <w:tcPr/>
          <w:p>
            <w:pPr>
              <w:pStyle w:val="Compact"/>
              <w:jc w:val="left"/>
            </w:pPr>
            <w:r>
              <w:t xml:space="preserve">chameleon, Datakit, PortalControl, gs_mysync</w:t>
            </w:r>
            <w:r>
              <w:t xml:space="preserve"> </w:t>
            </w:r>
            <w:hyperlink r:id="rId53">
              <w:r>
                <w:rPr>
                  <w:rStyle w:val="af"/>
                </w:rPr>
                <w:t xml:space="preserve">(opengauss.org)</w:t>
              </w:r>
            </w:hyperlink>
          </w:p>
        </w:tc>
      </w:tr>
      <w:tr>
        <w:tc>
          <w:tcPr/>
          <w:p>
            <w:pPr>
              <w:pStyle w:val="Compact"/>
              <w:jc w:val="left"/>
            </w:pPr>
            <w:r>
              <w:rPr>
                <w:b/>
                <w:bCs/>
              </w:rPr>
              <w:t xml:space="preserve">Oracle</w:t>
            </w:r>
          </w:p>
        </w:tc>
        <w:tc>
          <w:tcPr/>
          <w:p>
            <w:pPr>
              <w:pStyle w:val="Compact"/>
              <w:jc w:val="left"/>
            </w:pPr>
            <w:r>
              <w:t xml:space="preserve">Schema conversion, PL/SQL rewrite</w:t>
            </w:r>
          </w:p>
        </w:tc>
        <w:tc>
          <w:tcPr/>
          <w:p>
            <w:pPr>
              <w:pStyle w:val="Compact"/>
              <w:jc w:val="left"/>
            </w:pPr>
            <w:r>
              <w:rPr>
                <w:b/>
                <w:bCs/>
              </w:rPr>
              <w:t xml:space="preserve">High</w:t>
            </w:r>
          </w:p>
        </w:tc>
        <w:tc>
          <w:tcPr/>
          <w:p>
            <w:pPr>
              <w:pStyle w:val="Compact"/>
              <w:jc w:val="left"/>
            </w:pPr>
            <w:r>
              <w:t xml:space="preserve">3-6 months</w:t>
            </w:r>
          </w:p>
        </w:tc>
        <w:tc>
          <w:tcPr/>
          <w:p>
            <w:pPr>
              <w:pStyle w:val="Compact"/>
              <w:jc w:val="left"/>
            </w:pPr>
            <w:r>
              <w:t xml:space="preserve">Ora2Pg, Huawei DRS, phased cutover</w:t>
            </w:r>
            <w:r>
              <w:t xml:space="preserve"> </w:t>
            </w:r>
            <w:hyperlink r:id="rId72">
              <w:r>
                <w:rPr>
                  <w:rStyle w:val="af"/>
                </w:rPr>
                <w:t xml:space="preserve">(opengauss.org)</w:t>
              </w:r>
            </w:hyperlink>
          </w:p>
        </w:tc>
      </w:tr>
    </w:tbl>
    <w:bookmarkEnd w:id="81"/>
    <w:bookmarkStart w:id="85" w:name="performance-optimization-practices"/>
    <w:p>
      <w:pPr>
        <w:pStyle w:val="3"/>
      </w:pPr>
      <w:r>
        <w:t xml:space="preserve">5.3 Performance Optimization Practices</w:t>
      </w:r>
    </w:p>
    <w:bookmarkStart w:id="82" w:name="initial-configuration"/>
    <w:p>
      <w:pPr>
        <w:pStyle w:val="4"/>
      </w:pPr>
      <w:r>
        <w:t xml:space="preserve">5.3.1 Initial Configuration</w:t>
      </w:r>
    </w:p>
    <w:tbl>
      <w:tblPr>
        <w:tblStyle w:val="Table"/>
        <w:tblW w:type="pct" w:w="5000"/>
        <w:jc w:val="left"/>
        <w:tblLayout w:type="fixed"/>
        <w:tblLook w:firstRow="1" w:lastRow="0" w:firstColumn="0" w:lastColumn="0" w:noHBand="0" w:noVBand="0" w:val="0020"/>
      </w:tblPr>
      <w:tblGrid>
        <w:gridCol w:w="2420"/>
        <w:gridCol w:w="3080"/>
        <w:gridCol w:w="2420"/>
      </w:tblGrid>
      <w:tr>
        <w:trPr>
          <w:tblHeader w:val="on"/>
        </w:trPr>
        <w:tc>
          <w:tcPr/>
          <w:p>
            <w:pPr>
              <w:pStyle w:val="Compact"/>
              <w:jc w:val="left"/>
            </w:pPr>
            <w:r>
              <w:t xml:space="preserve">Parameter</w:t>
            </w:r>
          </w:p>
        </w:tc>
        <w:tc>
          <w:tcPr/>
          <w:p>
            <w:pPr>
              <w:pStyle w:val="Compact"/>
              <w:jc w:val="left"/>
            </w:pPr>
            <w:r>
              <w:t xml:space="preserve">Recommendation</w:t>
            </w:r>
          </w:p>
        </w:tc>
        <w:tc>
          <w:tcPr/>
          <w:p>
            <w:pPr>
              <w:pStyle w:val="Compact"/>
              <w:jc w:val="left"/>
            </w:pPr>
            <w:r>
              <w:t xml:space="preserve">Rationale</w:t>
            </w:r>
          </w:p>
        </w:tc>
      </w:tr>
      <w:tr>
        <w:tc>
          <w:tcPr/>
          <w:p>
            <w:pPr>
              <w:pStyle w:val="Compact"/>
              <w:jc w:val="left"/>
            </w:pPr>
            <w:r>
              <w:rPr>
                <w:rStyle w:val="VerbatimChar"/>
              </w:rPr>
              <w:t xml:space="preserve">shared_buffers</w:t>
            </w:r>
          </w:p>
        </w:tc>
        <w:tc>
          <w:tcPr/>
          <w:p>
            <w:pPr>
              <w:pStyle w:val="Compact"/>
              <w:jc w:val="left"/>
            </w:pPr>
            <w:r>
              <w:rPr>
                <w:b/>
                <w:bCs/>
              </w:rPr>
              <w:t xml:space="preserve">25-40% of available memory</w:t>
            </w:r>
          </w:p>
        </w:tc>
        <w:tc>
          <w:tcPr/>
          <w:p>
            <w:pPr>
              <w:pStyle w:val="Compact"/>
              <w:jc w:val="left"/>
            </w:pPr>
            <w:r>
              <w:t xml:space="preserve">Balance cache effectiveness with other memory consumers</w:t>
            </w:r>
          </w:p>
        </w:tc>
      </w:tr>
      <w:tr>
        <w:tc>
          <w:tcPr/>
          <w:p>
            <w:pPr>
              <w:pStyle w:val="Compact"/>
              <w:jc w:val="left"/>
            </w:pPr>
            <w:r>
              <w:rPr>
                <w:rStyle w:val="VerbatimChar"/>
              </w:rPr>
              <w:t xml:space="preserve">work_mem</w:t>
            </w:r>
          </w:p>
        </w:tc>
        <w:tc>
          <w:tcPr/>
          <w:p>
            <w:pPr>
              <w:pStyle w:val="Compact"/>
              <w:jc w:val="left"/>
            </w:pPr>
            <w:r>
              <w:t xml:space="preserve">Adjust for concurrency and query complexity</w:t>
            </w:r>
          </w:p>
        </w:tc>
        <w:tc>
          <w:tcPr/>
          <w:p>
            <w:pPr>
              <w:pStyle w:val="Compact"/>
              <w:jc w:val="left"/>
            </w:pPr>
            <w:r>
              <w:t xml:space="preserve">Sort/hash operation workspace</w:t>
            </w:r>
          </w:p>
        </w:tc>
      </w:tr>
      <w:tr>
        <w:tc>
          <w:tcPr/>
          <w:p>
            <w:pPr>
              <w:pStyle w:val="Compact"/>
              <w:jc w:val="left"/>
            </w:pPr>
            <w:r>
              <w:rPr>
                <w:rStyle w:val="VerbatimChar"/>
              </w:rPr>
              <w:t xml:space="preserve">enable_wdr_snapshot</w:t>
            </w:r>
          </w:p>
        </w:tc>
        <w:tc>
          <w:tcPr/>
          <w:p>
            <w:pPr>
              <w:pStyle w:val="Compact"/>
              <w:jc w:val="left"/>
            </w:pPr>
            <w:r>
              <w:rPr>
                <w:b/>
                <w:bCs/>
              </w:rPr>
              <w:t xml:space="preserve">Enable</w:t>
            </w:r>
          </w:p>
        </w:tc>
        <w:tc>
          <w:tcPr/>
          <w:p>
            <w:pPr>
              <w:pStyle w:val="Compact"/>
              <w:jc w:val="left"/>
            </w:pPr>
            <w:r>
              <w:t xml:space="preserve">Establish performance baseline for trend analysis</w:t>
            </w:r>
            <w:r>
              <w:t xml:space="preserve"> </w:t>
            </w:r>
            <w:hyperlink r:id="rId20">
              <w:r>
                <w:rPr>
                  <w:rStyle w:val="af"/>
                </w:rPr>
                <w:t xml:space="preserve">(opengauss.org)</w:t>
              </w:r>
            </w:hyperlink>
          </w:p>
        </w:tc>
      </w:tr>
    </w:tbl>
    <w:bookmarkEnd w:id="82"/>
    <w:bookmarkStart w:id="83" w:name="workload-specific-tuning"/>
    <w:p>
      <w:pPr>
        <w:pStyle w:val="4"/>
      </w:pPr>
      <w:r>
        <w:t xml:space="preserve">5.3.2 Workload-Specific Tuning</w:t>
      </w:r>
    </w:p>
    <w:tbl>
      <w:tblPr>
        <w:tblStyle w:val="Table"/>
        <w:tblW w:type="pct" w:w="5000"/>
        <w:jc w:val="left"/>
        <w:tblLayout w:type="fixed"/>
        <w:tblLook w:firstRow="1" w:lastRow="0" w:firstColumn="0" w:lastColumn="0" w:noHBand="0" w:noVBand="0" w:val="0020"/>
      </w:tblPr>
      <w:tblGrid>
        <w:gridCol w:w="2359"/>
        <w:gridCol w:w="3201"/>
        <w:gridCol w:w="2359"/>
      </w:tblGrid>
      <w:tr>
        <w:trPr>
          <w:tblHeader w:val="on"/>
        </w:trPr>
        <w:tc>
          <w:tcPr/>
          <w:p>
            <w:pPr>
              <w:pStyle w:val="Compact"/>
              <w:jc w:val="left"/>
            </w:pPr>
            <w:r>
              <w:t xml:space="preserve">Workload Type</w:t>
            </w:r>
          </w:p>
        </w:tc>
        <w:tc>
          <w:tcPr/>
          <w:p>
            <w:pPr>
              <w:pStyle w:val="Compact"/>
              <w:jc w:val="left"/>
            </w:pPr>
            <w:r>
              <w:t xml:space="preserve">Key Optimizations</w:t>
            </w:r>
          </w:p>
        </w:tc>
        <w:tc>
          <w:tcPr/>
          <w:p>
            <w:pPr>
              <w:pStyle w:val="Compact"/>
              <w:jc w:val="left"/>
            </w:pPr>
            <w:r>
              <w:t xml:space="preserve">Storage Engine</w:t>
            </w:r>
          </w:p>
        </w:tc>
      </w:tr>
      <w:tr>
        <w:tc>
          <w:tcPr/>
          <w:p>
            <w:pPr>
              <w:pStyle w:val="Compact"/>
              <w:jc w:val="left"/>
            </w:pPr>
            <w:r>
              <w:rPr>
                <w:b/>
                <w:bCs/>
              </w:rPr>
              <w:t xml:space="preserve">OLTP (agent state, real-time decisions)</w:t>
            </w:r>
          </w:p>
        </w:tc>
        <w:tc>
          <w:tcPr/>
          <w:p>
            <w:pPr>
              <w:pStyle w:val="Compact"/>
              <w:jc w:val="left"/>
            </w:pPr>
            <w:r>
              <w:t xml:space="preserve">MOT tables, connection pooling, prepared statements</w:t>
            </w:r>
          </w:p>
        </w:tc>
        <w:tc>
          <w:tcPr/>
          <w:p>
            <w:pPr>
              <w:pStyle w:val="Compact"/>
              <w:jc w:val="left"/>
            </w:pPr>
            <w:r>
              <w:rPr>
                <w:b/>
                <w:bCs/>
              </w:rPr>
              <w:t xml:space="preserve">MOT</w:t>
            </w:r>
          </w:p>
        </w:tc>
      </w:tr>
      <w:tr>
        <w:tc>
          <w:tcPr/>
          <w:p>
            <w:pPr>
              <w:pStyle w:val="Compact"/>
              <w:jc w:val="left"/>
            </w:pPr>
            <w:r>
              <w:rPr>
                <w:b/>
                <w:bCs/>
              </w:rPr>
              <w:t xml:space="preserve">OLAP (historical analysis, reporting)</w:t>
            </w:r>
          </w:p>
        </w:tc>
        <w:tc>
          <w:tcPr/>
          <w:p>
            <w:pPr>
              <w:pStyle w:val="Compact"/>
              <w:jc w:val="left"/>
            </w:pPr>
            <w:r>
              <w:t xml:space="preserve">Parallel query, columnar storage, partition pruning</w:t>
            </w:r>
          </w:p>
        </w:tc>
        <w:tc>
          <w:tcPr/>
          <w:p>
            <w:pPr>
              <w:pStyle w:val="Compact"/>
              <w:jc w:val="left"/>
            </w:pPr>
            <w:r>
              <w:rPr>
                <w:b/>
                <w:bCs/>
              </w:rPr>
              <w:t xml:space="preserve">Columnar</w:t>
            </w:r>
          </w:p>
        </w:tc>
      </w:tr>
      <w:tr>
        <w:tc>
          <w:tcPr/>
          <w:p>
            <w:pPr>
              <w:pStyle w:val="Compact"/>
              <w:jc w:val="left"/>
            </w:pPr>
            <w:r>
              <w:rPr>
                <w:b/>
                <w:bCs/>
              </w:rPr>
              <w:t xml:space="preserve">Mixed (operational + analytical)</w:t>
            </w:r>
          </w:p>
        </w:tc>
        <w:tc>
          <w:tcPr/>
          <w:p>
            <w:pPr>
              <w:pStyle w:val="Compact"/>
              <w:jc w:val="left"/>
            </w:pPr>
            <w:r>
              <w:t xml:space="preserve">Dynamic resource allocation, query routing, fusion engine</w:t>
            </w:r>
          </w:p>
        </w:tc>
        <w:tc>
          <w:tcPr/>
          <w:p>
            <w:pPr>
              <w:pStyle w:val="Compact"/>
              <w:jc w:val="left"/>
            </w:pPr>
            <w:r>
              <w:rPr>
                <w:b/>
                <w:bCs/>
              </w:rPr>
              <w:t xml:space="preserve">Hybrid</w:t>
            </w:r>
            <w:r>
              <w:t xml:space="preserve"> </w:t>
            </w:r>
            <w:hyperlink r:id="rId20">
              <w:r>
                <w:rPr>
                  <w:rStyle w:val="af"/>
                </w:rPr>
                <w:t xml:space="preserve">(opengauss.org)</w:t>
              </w:r>
            </w:hyperlink>
          </w:p>
        </w:tc>
      </w:tr>
    </w:tbl>
    <w:bookmarkEnd w:id="83"/>
    <w:bookmarkStart w:id="84" w:name="monitoring-and-diagnostics"/>
    <w:p>
      <w:pPr>
        <w:pStyle w:val="4"/>
      </w:pPr>
      <w:r>
        <w:t xml:space="preserve">5.3.3 Monitoring and Diagnostics</w:t>
      </w:r>
    </w:p>
    <w:tbl>
      <w:tblPr>
        <w:tblStyle w:val="Table"/>
        <w:tblW w:type="pct" w:w="5000"/>
        <w:jc w:val="left"/>
        <w:tblLayout w:type="fixed"/>
        <w:tblLook w:firstRow="1" w:lastRow="0" w:firstColumn="0" w:lastColumn="0" w:noHBand="0" w:noVBand="0" w:val="0020"/>
      </w:tblPr>
      <w:tblGrid>
        <w:gridCol w:w="1936"/>
        <w:gridCol w:w="2640"/>
        <w:gridCol w:w="3344"/>
      </w:tblGrid>
      <w:tr>
        <w:trPr>
          <w:tblHeader w:val="on"/>
        </w:trPr>
        <w:tc>
          <w:tcPr/>
          <w:p>
            <w:pPr>
              <w:pStyle w:val="Compact"/>
              <w:jc w:val="left"/>
            </w:pPr>
            <w:r>
              <w:t xml:space="preserve">Capability</w:t>
            </w:r>
          </w:p>
        </w:tc>
        <w:tc>
          <w:tcPr/>
          <w:p>
            <w:pPr>
              <w:pStyle w:val="Compact"/>
              <w:jc w:val="left"/>
            </w:pPr>
            <w:r>
              <w:t xml:space="preserve">Implementation</w:t>
            </w:r>
          </w:p>
        </w:tc>
        <w:tc>
          <w:tcPr/>
          <w:p>
            <w:pPr>
              <w:pStyle w:val="Compact"/>
              <w:jc w:val="left"/>
            </w:pPr>
            <w:r>
              <w:t xml:space="preserve">Operational Value</w:t>
            </w:r>
          </w:p>
        </w:tc>
      </w:tr>
      <w:tr>
        <w:tc>
          <w:tcPr/>
          <w:p>
            <w:pPr>
              <w:pStyle w:val="Compact"/>
              <w:jc w:val="left"/>
            </w:pPr>
            <w:r>
              <w:t xml:space="preserve">Historical analysis</w:t>
            </w:r>
          </w:p>
        </w:tc>
        <w:tc>
          <w:tcPr/>
          <w:p>
            <w:pPr>
              <w:pStyle w:val="Compact"/>
              <w:jc w:val="left"/>
            </w:pPr>
            <w:r>
              <w:rPr>
                <w:b/>
                <w:bCs/>
              </w:rPr>
              <w:t xml:space="preserve">WDR (Workload Diagnosis Report)</w:t>
            </w:r>
            <w:r>
              <w:t xml:space="preserve"> </w:t>
            </w:r>
            <w:r>
              <w:t xml:space="preserve">snapshots</w:t>
            </w:r>
          </w:p>
        </w:tc>
        <w:tc>
          <w:tcPr/>
          <w:p>
            <w:pPr>
              <w:pStyle w:val="Compact"/>
              <w:jc w:val="left"/>
            </w:pPr>
            <w:r>
              <w:t xml:space="preserve">Trend identification, capacity planning</w:t>
            </w:r>
          </w:p>
        </w:tc>
      </w:tr>
      <w:tr>
        <w:tc>
          <w:tcPr/>
          <w:p>
            <w:pPr>
              <w:pStyle w:val="Compact"/>
              <w:jc w:val="left"/>
            </w:pPr>
            <w:r>
              <w:t xml:space="preserve">Real-time visibility</w:t>
            </w:r>
          </w:p>
        </w:tc>
        <w:tc>
          <w:tcPr/>
          <w:p>
            <w:pPr>
              <w:pStyle w:val="Compact"/>
              <w:jc w:val="left"/>
            </w:pPr>
            <w:r>
              <w:rPr>
                <w:rStyle w:val="VerbatimChar"/>
              </w:rPr>
              <w:t xml:space="preserve">pg_stat_activity</w:t>
            </w:r>
            <w:r>
              <w:t xml:space="preserve">,</w:t>
            </w:r>
            <w:r>
              <w:t xml:space="preserve"> </w:t>
            </w:r>
            <w:r>
              <w:rPr>
                <w:rStyle w:val="VerbatimChar"/>
              </w:rPr>
              <w:t xml:space="preserve">pg_stat_statements</w:t>
            </w:r>
          </w:p>
        </w:tc>
        <w:tc>
          <w:tcPr/>
          <w:p>
            <w:pPr>
              <w:pStyle w:val="Compact"/>
              <w:jc w:val="left"/>
            </w:pPr>
            <w:r>
              <w:t xml:space="preserve">Immediate operational awareness</w:t>
            </w:r>
          </w:p>
        </w:tc>
      </w:tr>
      <w:tr>
        <w:tc>
          <w:tcPr/>
          <w:p>
            <w:pPr>
              <w:pStyle w:val="Compact"/>
              <w:jc w:val="left"/>
            </w:pPr>
            <w:r>
              <w:t xml:space="preserve">Proactive optimization</w:t>
            </w:r>
          </w:p>
        </w:tc>
        <w:tc>
          <w:tcPr/>
          <w:p>
            <w:pPr>
              <w:pStyle w:val="Compact"/>
              <w:jc w:val="left"/>
            </w:pPr>
            <w:r>
              <w:rPr>
                <w:b/>
                <w:bCs/>
              </w:rPr>
              <w:t xml:space="preserve">DBMind AI advisor</w:t>
            </w:r>
          </w:p>
        </w:tc>
        <w:tc>
          <w:tcPr/>
          <w:p>
            <w:pPr>
              <w:pStyle w:val="Compact"/>
              <w:jc w:val="left"/>
            </w:pPr>
            <w:r>
              <w:t xml:space="preserve">Automated recommendation, reduced manual analysis</w:t>
            </w:r>
            <w:r>
              <w:t xml:space="preserve"> </w:t>
            </w:r>
            <w:hyperlink r:id="rId20">
              <w:r>
                <w:rPr>
                  <w:rStyle w:val="af"/>
                </w:rPr>
                <w:t xml:space="preserve">(opengauss.org)</w:t>
              </w:r>
            </w:hyperlink>
          </w:p>
        </w:tc>
      </w:tr>
    </w:tbl>
    <w:bookmarkEnd w:id="84"/>
    <w:bookmarkEnd w:id="85"/>
    <w:bookmarkEnd w:id="86"/>
    <w:bookmarkStart w:id="90" w:name="strategic-value-for-technology-stack"/>
    <w:p>
      <w:pPr>
        <w:pStyle w:val="2"/>
      </w:pPr>
      <w:r>
        <w:t xml:space="preserve">6. Strategic Value for Technology Stack</w:t>
      </w:r>
    </w:p>
    <w:bookmarkStart w:id="87" w:name="direct-cost-savings"/>
    <w:p>
      <w:pPr>
        <w:pStyle w:val="3"/>
      </w:pPr>
      <w:r>
        <w:t xml:space="preserve">6.1 Direct Cost Savings</w:t>
      </w:r>
    </w:p>
    <w:tbl>
      <w:tblPr>
        <w:tblStyle w:val="Table"/>
        <w:tblW w:type="pct" w:w="5000"/>
        <w:jc w:val="left"/>
        <w:tblLayout w:type="fixed"/>
        <w:tblLook w:firstRow="1" w:lastRow="0" w:firstColumn="0" w:lastColumn="0" w:noHBand="0" w:noVBand="0" w:val="0020"/>
      </w:tblPr>
      <w:tblGrid>
        <w:gridCol w:w="2692"/>
        <w:gridCol w:w="1742"/>
        <w:gridCol w:w="3484"/>
      </w:tblGrid>
      <w:tr>
        <w:trPr>
          <w:tblHeader w:val="on"/>
        </w:trPr>
        <w:tc>
          <w:tcPr/>
          <w:p>
            <w:pPr>
              <w:pStyle w:val="Compact"/>
              <w:jc w:val="left"/>
            </w:pPr>
            <w:r>
              <w:t xml:space="preserve">Savings Category</w:t>
            </w:r>
          </w:p>
        </w:tc>
        <w:tc>
          <w:tcPr/>
          <w:p>
            <w:pPr>
              <w:pStyle w:val="Compact"/>
              <w:jc w:val="left"/>
            </w:pPr>
            <w:r>
              <w:t xml:space="preserve">Magnitude</w:t>
            </w:r>
          </w:p>
        </w:tc>
        <w:tc>
          <w:tcPr/>
          <w:p>
            <w:pPr>
              <w:pStyle w:val="Compact"/>
              <w:jc w:val="left"/>
            </w:pPr>
            <w:r>
              <w:t xml:space="preserve">Realization Mechanism</w:t>
            </w:r>
          </w:p>
        </w:tc>
      </w:tr>
      <w:tr>
        <w:tc>
          <w:tcPr/>
          <w:p>
            <w:pPr>
              <w:pStyle w:val="Compact"/>
              <w:jc w:val="left"/>
            </w:pPr>
            <w:r>
              <w:rPr>
                <w:b/>
                <w:bCs/>
              </w:rPr>
              <w:t xml:space="preserve">Oracle license elimination</w:t>
            </w:r>
          </w:p>
        </w:tc>
        <w:tc>
          <w:tcPr/>
          <w:p>
            <w:pPr>
              <w:pStyle w:val="Compact"/>
              <w:jc w:val="left"/>
            </w:pPr>
            <w:r>
              <w:rPr>
                <w:b/>
                <w:bCs/>
              </w:rPr>
              <w:t xml:space="preserve">$500K-$2M annually</w:t>
            </w:r>
            <w:r>
              <w:t xml:space="preserve"> </w:t>
            </w:r>
            <w:r>
              <w:t xml:space="preserve">(mid-size deployment)</w:t>
            </w:r>
          </w:p>
        </w:tc>
        <w:tc>
          <w:tcPr/>
          <w:p>
            <w:pPr>
              <w:pStyle w:val="Compact"/>
              <w:jc w:val="left"/>
            </w:pPr>
            <w:r>
              <w:t xml:space="preserve">MulanPSL v2 zero license cost</w:t>
            </w:r>
          </w:p>
        </w:tc>
      </w:tr>
      <w:tr>
        <w:tc>
          <w:tcPr/>
          <w:p>
            <w:pPr>
              <w:pStyle w:val="Compact"/>
              <w:jc w:val="left"/>
            </w:pPr>
            <w:r>
              <w:rPr>
                <w:b/>
                <w:bCs/>
              </w:rPr>
              <w:t xml:space="preserve">MySQL Enterprise alternative</w:t>
            </w:r>
          </w:p>
        </w:tc>
        <w:tc>
          <w:tcPr/>
          <w:p>
            <w:pPr>
              <w:pStyle w:val="Compact"/>
              <w:jc w:val="left"/>
            </w:pPr>
            <w:r>
              <w:rPr>
                <w:b/>
                <w:bCs/>
              </w:rPr>
              <w:t xml:space="preserve">40-60% support cost reduction</w:t>
            </w:r>
          </w:p>
        </w:tc>
        <w:tc>
          <w:tcPr/>
          <w:p>
            <w:pPr>
              <w:pStyle w:val="Compact"/>
              <w:jc w:val="left"/>
            </w:pPr>
            <w:r>
              <w:t xml:space="preserve">Competitive commercial support market</w:t>
            </w:r>
          </w:p>
        </w:tc>
      </w:tr>
      <w:tr>
        <w:tc>
          <w:tcPr/>
          <w:p>
            <w:pPr>
              <w:pStyle w:val="Compact"/>
              <w:jc w:val="left"/>
            </w:pPr>
            <w:r>
              <w:rPr>
                <w:b/>
                <w:bCs/>
              </w:rPr>
              <w:t xml:space="preserve">Operational efficiency</w:t>
            </w:r>
          </w:p>
        </w:tc>
        <w:tc>
          <w:tcPr/>
          <w:p>
            <w:pPr>
              <w:pStyle w:val="Compact"/>
              <w:jc w:val="left"/>
            </w:pPr>
            <w:r>
              <w:rPr>
                <w:b/>
                <w:bCs/>
              </w:rPr>
              <w:t xml:space="preserve">50-85% manual tuning reduction</w:t>
            </w:r>
          </w:p>
        </w:tc>
        <w:tc>
          <w:tcPr/>
          <w:p>
            <w:pPr>
              <w:pStyle w:val="Compact"/>
              <w:jc w:val="left"/>
            </w:pPr>
            <w:r>
              <w:t xml:space="preserve">DBMind autonomous operations</w:t>
            </w:r>
            <w:r>
              <w:t xml:space="preserve"> </w:t>
            </w:r>
            <w:hyperlink r:id="rId20">
              <w:r>
                <w:rPr>
                  <w:rStyle w:val="af"/>
                </w:rPr>
                <w:t xml:space="preserve">(opengauss.org)</w:t>
              </w:r>
            </w:hyperlink>
            <w:r>
              <w:t xml:space="preserve"> </w:t>
            </w:r>
            <w:r>
              <w:t xml:space="preserve">,</w:t>
            </w:r>
            <w:r>
              <w:t xml:space="preserve"> </w:t>
            </w:r>
            <w:hyperlink r:id="rId51">
              <w:r>
                <w:rPr>
                  <w:rStyle w:val="af"/>
                </w:rPr>
                <w:t xml:space="preserve">(CSDN博客)</w:t>
              </w:r>
            </w:hyperlink>
          </w:p>
        </w:tc>
      </w:tr>
      <w:tr>
        <w:tc>
          <w:tcPr/>
          <w:p>
            <w:pPr>
              <w:pStyle w:val="Compact"/>
              <w:jc w:val="left"/>
            </w:pPr>
            <w:r>
              <w:rPr>
                <w:b/>
                <w:bCs/>
              </w:rPr>
              <w:t xml:space="preserve">Infrastructure optimization</w:t>
            </w:r>
          </w:p>
        </w:tc>
        <w:tc>
          <w:tcPr/>
          <w:p>
            <w:pPr>
              <w:pStyle w:val="Compact"/>
              <w:jc w:val="left"/>
            </w:pPr>
            <w:r>
              <w:rPr>
                <w:b/>
                <w:bCs/>
              </w:rPr>
              <w:t xml:space="preserve">35-40% server reduction</w:t>
            </w:r>
          </w:p>
        </w:tc>
        <w:tc>
          <w:tcPr/>
          <w:p>
            <w:pPr>
              <w:pStyle w:val="Compact"/>
              <w:jc w:val="left"/>
            </w:pPr>
            <w:r>
              <w:t xml:space="preserve">95% CPU utilization vs. 60-70% typical</w:t>
            </w:r>
            <w:r>
              <w:t xml:space="preserve"> </w:t>
            </w:r>
            <w:hyperlink r:id="rId21">
              <w:r>
                <w:rPr>
                  <w:rStyle w:val="af"/>
                </w:rPr>
                <w:t xml:space="preserve">(博客园)</w:t>
              </w:r>
            </w:hyperlink>
          </w:p>
        </w:tc>
      </w:tr>
    </w:tbl>
    <w:bookmarkEnd w:id="87"/>
    <w:bookmarkStart w:id="88" w:name="Xcf473797e7003c9b56538e019209ddd36cf7a53"/>
    <w:p>
      <w:pPr>
        <w:pStyle w:val="3"/>
      </w:pPr>
      <w:r>
        <w:t xml:space="preserve">6.2 Creative Output and Innovation Enablement</w:t>
      </w:r>
    </w:p>
    <w:tbl>
      <w:tblPr>
        <w:tblStyle w:val="Table"/>
        <w:tblW w:type="pct" w:w="5000"/>
        <w:jc w:val="left"/>
        <w:tblLayout w:type="fixed"/>
        <w:tblLook w:firstRow="1" w:lastRow="0" w:firstColumn="0" w:lastColumn="0" w:noHBand="0" w:noVBand="0" w:val="0020"/>
      </w:tblPr>
      <w:tblGrid>
        <w:gridCol w:w="1827"/>
        <w:gridCol w:w="2233"/>
        <w:gridCol w:w="3858"/>
      </w:tblGrid>
      <w:tr>
        <w:trPr>
          <w:tblHeader w:val="on"/>
        </w:trPr>
        <w:tc>
          <w:tcPr/>
          <w:p>
            <w:pPr>
              <w:pStyle w:val="Compact"/>
              <w:jc w:val="left"/>
            </w:pPr>
            <w:r>
              <w:t xml:space="preserve">Enabler</w:t>
            </w:r>
          </w:p>
        </w:tc>
        <w:tc>
          <w:tcPr/>
          <w:p>
            <w:pPr>
              <w:pStyle w:val="Compact"/>
              <w:jc w:val="left"/>
            </w:pPr>
            <w:r>
              <w:t xml:space="preserve">Mechanism</w:t>
            </w:r>
          </w:p>
        </w:tc>
        <w:tc>
          <w:tcPr/>
          <w:p>
            <w:pPr>
              <w:pStyle w:val="Compact"/>
              <w:jc w:val="left"/>
            </w:pPr>
            <w:r>
              <w:t xml:space="preserve">Innovation Impact</w:t>
            </w:r>
          </w:p>
        </w:tc>
      </w:tr>
      <w:tr>
        <w:tc>
          <w:tcPr/>
          <w:p>
            <w:pPr>
              <w:pStyle w:val="Compact"/>
              <w:jc w:val="left"/>
            </w:pPr>
            <w:r>
              <w:rPr>
                <w:b/>
                <w:bCs/>
              </w:rPr>
              <w:t xml:space="preserve">PostgreSQL compatibility</w:t>
            </w:r>
          </w:p>
        </w:tc>
        <w:tc>
          <w:tcPr/>
          <w:p>
            <w:pPr>
              <w:pStyle w:val="Compact"/>
              <w:jc w:val="left"/>
            </w:pPr>
            <w:r>
              <w:t xml:space="preserve">Immediate developer productivity</w:t>
            </w:r>
          </w:p>
        </w:tc>
        <w:tc>
          <w:tcPr/>
          <w:p>
            <w:pPr>
              <w:pStyle w:val="Compact"/>
              <w:jc w:val="left"/>
            </w:pPr>
            <w:r>
              <w:t xml:space="preserve">No learning curve for existing skills</w:t>
            </w:r>
          </w:p>
        </w:tc>
      </w:tr>
      <w:tr>
        <w:tc>
          <w:tcPr/>
          <w:p>
            <w:pPr>
              <w:pStyle w:val="Compact"/>
              <w:jc w:val="left"/>
            </w:pPr>
            <w:r>
              <w:rPr>
                <w:b/>
                <w:bCs/>
              </w:rPr>
              <w:t xml:space="preserve">AI-assisted optimization</w:t>
            </w:r>
          </w:p>
        </w:tc>
        <w:tc>
          <w:tcPr/>
          <w:p>
            <w:pPr>
              <w:pStyle w:val="Compact"/>
              <w:jc w:val="left"/>
            </w:pPr>
            <w:r>
              <w:t xml:space="preserve">Reduced performance engineering burden</w:t>
            </w:r>
          </w:p>
        </w:tc>
        <w:tc>
          <w:tcPr/>
          <w:p>
            <w:pPr>
              <w:pStyle w:val="Compact"/>
              <w:jc w:val="left"/>
            </w:pPr>
            <w:r>
              <w:t xml:space="preserve">Focus on feature development vs. tuning</w:t>
            </w:r>
          </w:p>
        </w:tc>
      </w:tr>
      <w:tr>
        <w:tc>
          <w:tcPr/>
          <w:p>
            <w:pPr>
              <w:pStyle w:val="Compact"/>
              <w:jc w:val="left"/>
            </w:pPr>
            <w:r>
              <w:rPr>
                <w:b/>
                <w:bCs/>
              </w:rPr>
              <w:t xml:space="preserve">Containerized deployment</w:t>
            </w:r>
          </w:p>
        </w:tc>
        <w:tc>
          <w:tcPr/>
          <w:p>
            <w:pPr>
              <w:pStyle w:val="Compact"/>
              <w:jc w:val="left"/>
            </w:pPr>
            <w:r>
              <w:t xml:space="preserve">Rapid prototyping, environment consistency</w:t>
            </w:r>
          </w:p>
        </w:tc>
        <w:tc>
          <w:tcPr/>
          <w:p>
            <w:pPr>
              <w:pStyle w:val="Compact"/>
              <w:jc w:val="left"/>
            </w:pPr>
            <w:r>
              <w:t xml:space="preserve">Accelerated experimentation and iteration</w:t>
            </w:r>
          </w:p>
        </w:tc>
      </w:tr>
      <w:tr>
        <w:tc>
          <w:tcPr/>
          <w:p>
            <w:pPr>
              <w:pStyle w:val="Compact"/>
              <w:jc w:val="left"/>
            </w:pPr>
            <w:r>
              <w:rPr>
                <w:b/>
                <w:bCs/>
              </w:rPr>
              <w:t xml:space="preserve">HTAP capabilities</w:t>
            </w:r>
          </w:p>
        </w:tc>
        <w:tc>
          <w:tcPr/>
          <w:p>
            <w:pPr>
              <w:pStyle w:val="Compact"/>
              <w:jc w:val="left"/>
            </w:pPr>
            <w:r>
              <w:t xml:space="preserve">Unified operational and analytical processing</w:t>
            </w:r>
          </w:p>
        </w:tc>
        <w:tc>
          <w:tcPr/>
          <w:p>
            <w:pPr>
              <w:pStyle w:val="Compact"/>
              <w:jc w:val="left"/>
            </w:pPr>
            <w:r>
              <w:t xml:space="preserve">Eliminated ETL complexity, real-time insights</w:t>
            </w:r>
          </w:p>
        </w:tc>
      </w:tr>
      <w:tr>
        <w:tc>
          <w:tcPr/>
          <w:p>
            <w:pPr>
              <w:pStyle w:val="Compact"/>
              <w:jc w:val="left"/>
            </w:pPr>
            <w:r>
              <w:rPr>
                <w:b/>
                <w:bCs/>
              </w:rPr>
              <w:t xml:space="preserve">Edge-to-cloud synchronization</w:t>
            </w:r>
          </w:p>
        </w:tc>
        <w:tc>
          <w:tcPr/>
          <w:p>
            <w:pPr>
              <w:pStyle w:val="Compact"/>
              <w:jc w:val="left"/>
            </w:pPr>
            <w:r>
              <w:t xml:space="preserve">Distributed agent deployment patterns</w:t>
            </w:r>
          </w:p>
        </w:tc>
        <w:tc>
          <w:tcPr/>
          <w:p>
            <w:pPr>
              <w:pStyle w:val="Compact"/>
              <w:jc w:val="left"/>
            </w:pPr>
            <w:r>
              <w:t xml:space="preserve">Architectural flexibility for IoT and edge scenarios</w:t>
            </w:r>
            <w:r>
              <w:t xml:space="preserve"> </w:t>
            </w:r>
            <w:hyperlink r:id="rId20">
              <w:r>
                <w:rPr>
                  <w:rStyle w:val="af"/>
                </w:rPr>
                <w:t xml:space="preserve">(opengauss.org)</w:t>
              </w:r>
            </w:hyperlink>
          </w:p>
        </w:tc>
      </w:tr>
    </w:tbl>
    <w:bookmarkEnd w:id="88"/>
    <w:bookmarkStart w:id="89" w:name="optimization-potential"/>
    <w:p>
      <w:pPr>
        <w:pStyle w:val="3"/>
      </w:pPr>
      <w:r>
        <w:t xml:space="preserve">6.3 Optimization Potential</w:t>
      </w:r>
    </w:p>
    <w:tbl>
      <w:tblPr>
        <w:tblStyle w:val="Table"/>
        <w:tblW w:type="pct" w:w="5000"/>
        <w:jc w:val="left"/>
        <w:tblLayout w:type="fixed"/>
        <w:tblLook w:firstRow="1" w:lastRow="0" w:firstColumn="0" w:lastColumn="0" w:noHBand="0" w:noVBand="0" w:val="0020"/>
      </w:tblPr>
      <w:tblGrid>
        <w:gridCol w:w="1584"/>
        <w:gridCol w:w="3168"/>
        <w:gridCol w:w="3168"/>
      </w:tblGrid>
      <w:tr>
        <w:trPr>
          <w:tblHeader w:val="on"/>
        </w:trPr>
        <w:tc>
          <w:tcPr/>
          <w:p>
            <w:pPr>
              <w:pStyle w:val="Compact"/>
              <w:jc w:val="left"/>
            </w:pPr>
            <w:r>
              <w:t xml:space="preserve">Dimension</w:t>
            </w:r>
          </w:p>
        </w:tc>
        <w:tc>
          <w:tcPr/>
          <w:p>
            <w:pPr>
              <w:pStyle w:val="Compact"/>
              <w:jc w:val="left"/>
            </w:pPr>
            <w:r>
              <w:t xml:space="preserve">Improvement Mechanism</w:t>
            </w:r>
          </w:p>
        </w:tc>
        <w:tc>
          <w:tcPr/>
          <w:p>
            <w:pPr>
              <w:pStyle w:val="Compact"/>
              <w:jc w:val="left"/>
            </w:pPr>
            <w:r>
              <w:t xml:space="preserve">Long-term Trajectory</w:t>
            </w:r>
          </w:p>
        </w:tc>
      </w:tr>
      <w:tr>
        <w:tc>
          <w:tcPr/>
          <w:p>
            <w:pPr>
              <w:pStyle w:val="Compact"/>
              <w:jc w:val="left"/>
            </w:pPr>
            <w:r>
              <w:rPr>
                <w:b/>
                <w:bCs/>
              </w:rPr>
              <w:t xml:space="preserve">Self-learning optimizer</w:t>
            </w:r>
          </w:p>
        </w:tc>
        <w:tc>
          <w:tcPr/>
          <w:p>
            <w:pPr>
              <w:pStyle w:val="Compact"/>
              <w:jc w:val="left"/>
            </w:pPr>
            <w:r>
              <w:t xml:space="preserve">Workload history accumulation</w:t>
            </w:r>
          </w:p>
        </w:tc>
        <w:tc>
          <w:tcPr/>
          <w:p>
            <w:pPr>
              <w:pStyle w:val="Compact"/>
              <w:jc w:val="left"/>
            </w:pPr>
            <w:r>
              <w:t xml:space="preserve">Continuous performance improvement without intervention</w:t>
            </w:r>
          </w:p>
        </w:tc>
      </w:tr>
      <w:tr>
        <w:tc>
          <w:tcPr/>
          <w:p>
            <w:pPr>
              <w:pStyle w:val="Compact"/>
              <w:jc w:val="left"/>
            </w:pPr>
            <w:r>
              <w:rPr>
                <w:b/>
                <w:bCs/>
              </w:rPr>
              <w:t xml:space="preserve">Community feature evolution</w:t>
            </w:r>
          </w:p>
        </w:tc>
        <w:tc>
          <w:tcPr/>
          <w:p>
            <w:pPr>
              <w:pStyle w:val="Compact"/>
              <w:jc w:val="left"/>
            </w:pPr>
            <w:r>
              <w:t xml:space="preserve">4,000+ annual contributors</w:t>
            </w:r>
          </w:p>
        </w:tc>
        <w:tc>
          <w:tcPr/>
          <w:p>
            <w:pPr>
              <w:pStyle w:val="Compact"/>
              <w:jc w:val="left"/>
            </w:pPr>
            <w:r>
              <w:t xml:space="preserve">Accelerating capability expansion</w:t>
            </w:r>
          </w:p>
        </w:tc>
      </w:tr>
      <w:tr>
        <w:tc>
          <w:tcPr/>
          <w:p>
            <w:pPr>
              <w:pStyle w:val="Compact"/>
              <w:jc w:val="left"/>
            </w:pPr>
            <w:r>
              <w:rPr>
                <w:b/>
                <w:bCs/>
              </w:rPr>
              <w:t xml:space="preserve">Hardware-software co-optimization</w:t>
            </w:r>
          </w:p>
        </w:tc>
        <w:tc>
          <w:tcPr/>
          <w:p>
            <w:pPr>
              <w:pStyle w:val="Compact"/>
              <w:jc w:val="left"/>
            </w:pPr>
            <w:r>
              <w:t xml:space="preserve">Kunpeng, emerging platforms</w:t>
            </w:r>
          </w:p>
        </w:tc>
        <w:tc>
          <w:tcPr/>
          <w:p>
            <w:pPr>
              <w:pStyle w:val="Compact"/>
              <w:jc w:val="left"/>
            </w:pPr>
            <w:r>
              <w:t xml:space="preserve">Sustained performance leadership</w:t>
            </w:r>
          </w:p>
        </w:tc>
      </w:tr>
      <w:tr>
        <w:tc>
          <w:tcPr/>
          <w:p>
            <w:pPr>
              <w:pStyle w:val="Compact"/>
              <w:jc w:val="left"/>
            </w:pPr>
            <w:r>
              <w:rPr>
                <w:b/>
                <w:bCs/>
              </w:rPr>
              <w:t xml:space="preserve">Ecosystem integration</w:t>
            </w:r>
          </w:p>
        </w:tc>
        <w:tc>
          <w:tcPr/>
          <w:p>
            <w:pPr>
              <w:pStyle w:val="Compact"/>
              <w:jc w:val="left"/>
            </w:pPr>
            <w:r>
              <w:t xml:space="preserve">Kafka, Flink, Spark, Kubernetes compatibility</w:t>
            </w:r>
          </w:p>
        </w:tc>
        <w:tc>
          <w:tcPr/>
          <w:p>
            <w:pPr>
              <w:pStyle w:val="Compact"/>
              <w:jc w:val="left"/>
            </w:pPr>
            <w:r>
              <w:t xml:space="preserve">Seamless modern data stack integration</w:t>
            </w:r>
            <w:r>
              <w:t xml:space="preserve"> </w:t>
            </w:r>
            <w:hyperlink r:id="rId20">
              <w:r>
                <w:rPr>
                  <w:rStyle w:val="af"/>
                </w:rPr>
                <w:t xml:space="preserve">(opengauss.org)</w:t>
              </w:r>
            </w:hyperlink>
            <w:r>
              <w:t xml:space="preserve"> </w:t>
            </w:r>
            <w:r>
              <w:t xml:space="preserve">,</w:t>
            </w:r>
            <w:r>
              <w:t xml:space="preserve"> </w:t>
            </w:r>
            <w:hyperlink r:id="rId21">
              <w:r>
                <w:rPr>
                  <w:rStyle w:val="af"/>
                </w:rPr>
                <w:t xml:space="preserve">(博客园)</w:t>
              </w:r>
            </w:hyperlink>
          </w:p>
        </w:tc>
      </w:tr>
    </w:tbl>
    <w:bookmarkEnd w:id="89"/>
    <w:bookmarkEnd w:id="90"/>
    <w:bookmarkStart w:id="94" w:name="recommendations-and-next-steps"/>
    <w:p>
      <w:pPr>
        <w:pStyle w:val="2"/>
      </w:pPr>
      <w:r>
        <w:t xml:space="preserve">7. Recommendations and Next Steps</w:t>
      </w:r>
    </w:p>
    <w:bookmarkStart w:id="91" w:name="pilot-implementation"/>
    <w:p>
      <w:pPr>
        <w:pStyle w:val="3"/>
      </w:pPr>
      <w:r>
        <w:t xml:space="preserve">7.1 Pilot Implementation</w:t>
      </w:r>
    </w:p>
    <w:tbl>
      <w:tblPr>
        <w:tblStyle w:val="Table"/>
        <w:tblW w:type="pct" w:w="5000"/>
        <w:jc w:val="left"/>
        <w:tblLayout w:type="fixed"/>
        <w:tblLook w:firstRow="1" w:lastRow="0" w:firstColumn="0" w:lastColumn="0" w:noHBand="0" w:noVBand="0" w:val="0020"/>
      </w:tblPr>
      <w:tblGrid>
        <w:gridCol w:w="3240"/>
        <w:gridCol w:w="4680"/>
      </w:tblGrid>
      <w:tr>
        <w:trPr>
          <w:tblHeader w:val="on"/>
        </w:trPr>
        <w:tc>
          <w:tcPr/>
          <w:p>
            <w:pPr>
              <w:pStyle w:val="Compact"/>
              <w:jc w:val="left"/>
            </w:pPr>
            <w:r>
              <w:t xml:space="preserve">Element</w:t>
            </w:r>
          </w:p>
        </w:tc>
        <w:tc>
          <w:tcPr/>
          <w:p>
            <w:pPr>
              <w:pStyle w:val="Compact"/>
              <w:jc w:val="left"/>
            </w:pPr>
            <w:r>
              <w:t xml:space="preserve">Specification</w:t>
            </w:r>
          </w:p>
        </w:tc>
      </w:tr>
      <w:tr>
        <w:tc>
          <w:tcPr/>
          <w:p>
            <w:pPr>
              <w:pStyle w:val="Compact"/>
              <w:jc w:val="left"/>
            </w:pPr>
            <w:r>
              <w:rPr>
                <w:b/>
                <w:bCs/>
              </w:rPr>
              <w:t xml:space="preserve">Scope</w:t>
            </w:r>
          </w:p>
        </w:tc>
        <w:tc>
          <w:tcPr/>
          <w:p>
            <w:pPr>
              <w:pStyle w:val="Compact"/>
              <w:jc w:val="left"/>
            </w:pPr>
            <w:r>
              <w:t xml:space="preserve">Hermes-agent data layer proof-of-concept</w:t>
            </w:r>
          </w:p>
        </w:tc>
      </w:tr>
      <w:tr>
        <w:tc>
          <w:tcPr/>
          <w:p>
            <w:pPr>
              <w:pStyle w:val="Compact"/>
              <w:jc w:val="left"/>
            </w:pPr>
            <w:r>
              <w:rPr>
                <w:b/>
                <w:bCs/>
              </w:rPr>
              <w:t xml:space="preserve">Duration</w:t>
            </w:r>
          </w:p>
        </w:tc>
        <w:tc>
          <w:tcPr/>
          <w:p>
            <w:pPr>
              <w:pStyle w:val="Compact"/>
              <w:jc w:val="left"/>
            </w:pPr>
            <w:r>
              <w:rPr>
                <w:b/>
                <w:bCs/>
              </w:rPr>
              <w:t xml:space="preserve">8-12 weeks</w:t>
            </w:r>
          </w:p>
        </w:tc>
      </w:tr>
      <w:tr>
        <w:tc>
          <w:tcPr/>
          <w:p>
            <w:pPr>
              <w:pStyle w:val="Compact"/>
              <w:jc w:val="left"/>
            </w:pPr>
            <w:r>
              <w:rPr>
                <w:b/>
                <w:bCs/>
              </w:rPr>
              <w:t xml:space="preserve">Success criteria</w:t>
            </w:r>
          </w:p>
        </w:tc>
        <w:tc>
          <w:tcPr/>
          <w:p>
            <w:pPr>
              <w:pStyle w:val="Compact"/>
              <w:jc w:val="left"/>
            </w:pPr>
            <w:r>
              <w:t xml:space="preserve">Performance parity, cost validation, team readiness, operational procedure development</w:t>
            </w:r>
          </w:p>
        </w:tc>
      </w:tr>
      <w:tr>
        <w:tc>
          <w:tcPr/>
          <w:p>
            <w:pPr>
              <w:pStyle w:val="Compact"/>
              <w:jc w:val="left"/>
            </w:pPr>
            <w:r>
              <w:rPr>
                <w:b/>
                <w:bCs/>
              </w:rPr>
              <w:t xml:space="preserve">Infrastructure</w:t>
            </w:r>
          </w:p>
        </w:tc>
        <w:tc>
          <w:tcPr/>
          <w:p>
            <w:pPr>
              <w:pStyle w:val="Compact"/>
              <w:jc w:val="left"/>
            </w:pPr>
            <w:r>
              <w:t xml:space="preserve">Mirror production: HA configuration, monitoring integration, backup/recovery procedures</w:t>
            </w:r>
          </w:p>
        </w:tc>
      </w:tr>
    </w:tbl>
    <w:bookmarkEnd w:id="91"/>
    <w:bookmarkStart w:id="92" w:name="risk-assessment"/>
    <w:p>
      <w:pPr>
        <w:pStyle w:val="3"/>
      </w:pPr>
      <w:r>
        <w:t xml:space="preserve">7.2 Risk Assessment</w:t>
      </w:r>
    </w:p>
    <w:tbl>
      <w:tblPr>
        <w:tblStyle w:val="Table"/>
        <w:tblW w:type="pct" w:w="5000"/>
        <w:jc w:val="left"/>
        <w:tblLayout w:type="fixed"/>
        <w:tblLook w:firstRow="1" w:lastRow="0" w:firstColumn="0" w:lastColumn="0" w:noHBand="0" w:noVBand="0" w:val="0020"/>
      </w:tblPr>
      <w:tblGrid>
        <w:gridCol w:w="2795"/>
        <w:gridCol w:w="5124"/>
      </w:tblGrid>
      <w:tr>
        <w:trPr>
          <w:tblHeader w:val="on"/>
        </w:trPr>
        <w:tc>
          <w:tcPr/>
          <w:p>
            <w:pPr>
              <w:pStyle w:val="Compact"/>
              <w:jc w:val="left"/>
            </w:pPr>
            <w:r>
              <w:t xml:space="preserve">Risk</w:t>
            </w:r>
          </w:p>
        </w:tc>
        <w:tc>
          <w:tcPr/>
          <w:p>
            <w:pPr>
              <w:pStyle w:val="Compact"/>
              <w:jc w:val="left"/>
            </w:pPr>
            <w:r>
              <w:t xml:space="preserve">Mitigation</w:t>
            </w:r>
          </w:p>
        </w:tc>
      </w:tr>
      <w:tr>
        <w:tc>
          <w:tcPr/>
          <w:p>
            <w:pPr>
              <w:pStyle w:val="Compact"/>
              <w:jc w:val="left"/>
            </w:pPr>
            <w:r>
              <w:t xml:space="preserve">Migration complexity</w:t>
            </w:r>
          </w:p>
        </w:tc>
        <w:tc>
          <w:tcPr/>
          <w:p>
            <w:pPr>
              <w:pStyle w:val="Compact"/>
              <w:jc w:val="left"/>
            </w:pPr>
            <w:r>
              <w:t xml:space="preserve">Thorough pre-migration assessment, phased approach, rollback capability</w:t>
            </w:r>
          </w:p>
        </w:tc>
      </w:tr>
      <w:tr>
        <w:tc>
          <w:tcPr/>
          <w:p>
            <w:pPr>
              <w:pStyle w:val="Compact"/>
              <w:jc w:val="left"/>
            </w:pPr>
            <w:r>
              <w:t xml:space="preserve">Team skill development</w:t>
            </w:r>
          </w:p>
        </w:tc>
        <w:tc>
          <w:tcPr/>
          <w:p>
            <w:pPr>
              <w:pStyle w:val="Compact"/>
              <w:jc w:val="left"/>
            </w:pPr>
            <w:r>
              <w:t xml:space="preserve">PostgreSQL experience leverage, targeted OpenGauss-specific training</w:t>
            </w:r>
          </w:p>
        </w:tc>
      </w:tr>
      <w:tr>
        <w:tc>
          <w:tcPr/>
          <w:p>
            <w:pPr>
              <w:pStyle w:val="Compact"/>
              <w:jc w:val="left"/>
            </w:pPr>
            <w:r>
              <w:t xml:space="preserve">Support model selection</w:t>
            </w:r>
          </w:p>
        </w:tc>
        <w:tc>
          <w:tcPr/>
          <w:p>
            <w:pPr>
              <w:pStyle w:val="Compact"/>
              <w:jc w:val="left"/>
            </w:pPr>
            <w:r>
              <w:t xml:space="preserve">Match community vs. commercial to operational criticality and internal capability</w:t>
            </w:r>
          </w:p>
        </w:tc>
      </w:tr>
    </w:tbl>
    <w:bookmarkEnd w:id="92"/>
    <w:bookmarkStart w:id="93" w:name="long-term-roadmap"/>
    <w:p>
      <w:pPr>
        <w:pStyle w:val="3"/>
      </w:pPr>
      <w:r>
        <w:t xml:space="preserve">7.3 Long-term Roadmap</w:t>
      </w:r>
    </w:p>
    <w:tbl>
      <w:tblPr>
        <w:tblStyle w:val="Table"/>
        <w:tblW w:type="pct" w:w="5000"/>
        <w:jc w:val="left"/>
        <w:tblLayout w:type="fixed"/>
        <w:tblLook w:firstRow="1" w:lastRow="0" w:firstColumn="0" w:lastColumn="0" w:noHBand="0" w:noVBand="0" w:val="0020"/>
      </w:tblPr>
      <w:tblGrid>
        <w:gridCol w:w="2310"/>
        <w:gridCol w:w="2310"/>
        <w:gridCol w:w="3300"/>
      </w:tblGrid>
      <w:tr>
        <w:trPr>
          <w:tblHeader w:val="on"/>
        </w:trPr>
        <w:tc>
          <w:tcPr/>
          <w:p>
            <w:pPr>
              <w:pStyle w:val="Compact"/>
              <w:jc w:val="left"/>
            </w:pPr>
            <w:r>
              <w:t xml:space="preserve">Phase</w:t>
            </w:r>
          </w:p>
        </w:tc>
        <w:tc>
          <w:tcPr/>
          <w:p>
            <w:pPr>
              <w:pStyle w:val="Compact"/>
              <w:jc w:val="left"/>
            </w:pPr>
            <w:r>
              <w:t xml:space="preserve">Focus</w:t>
            </w:r>
          </w:p>
        </w:tc>
        <w:tc>
          <w:tcPr/>
          <w:p>
            <w:pPr>
              <w:pStyle w:val="Compact"/>
              <w:jc w:val="left"/>
            </w:pPr>
            <w:r>
              <w:t xml:space="preserve">Timeline</w:t>
            </w:r>
          </w:p>
        </w:tc>
      </w:tr>
      <w:tr>
        <w:tc>
          <w:tcPr/>
          <w:p>
            <w:pPr>
              <w:pStyle w:val="Compact"/>
              <w:jc w:val="left"/>
            </w:pPr>
            <w:r>
              <w:rPr>
                <w:b/>
                <w:bCs/>
              </w:rPr>
              <w:t xml:space="preserve">1</w:t>
            </w:r>
          </w:p>
        </w:tc>
        <w:tc>
          <w:tcPr/>
          <w:p>
            <w:pPr>
              <w:pStyle w:val="Compact"/>
              <w:jc w:val="left"/>
            </w:pPr>
            <w:r>
              <w:t xml:space="preserve">Non-critical workload migration</w:t>
            </w:r>
          </w:p>
        </w:tc>
        <w:tc>
          <w:tcPr/>
          <w:p>
            <w:pPr>
              <w:pStyle w:val="Compact"/>
              <w:jc w:val="left"/>
            </w:pPr>
            <w:r>
              <w:t xml:space="preserve">0-6 months</w:t>
            </w:r>
          </w:p>
        </w:tc>
      </w:tr>
      <w:tr>
        <w:tc>
          <w:tcPr/>
          <w:p>
            <w:pPr>
              <w:pStyle w:val="Compact"/>
              <w:jc w:val="left"/>
            </w:pPr>
            <w:r>
              <w:rPr>
                <w:b/>
                <w:bCs/>
              </w:rPr>
              <w:t xml:space="preserve">2</w:t>
            </w:r>
          </w:p>
        </w:tc>
        <w:tc>
          <w:tcPr/>
          <w:p>
            <w:pPr>
              <w:pStyle w:val="Compact"/>
              <w:jc w:val="left"/>
            </w:pPr>
            <w:r>
              <w:t xml:space="preserve">Core agent services transition</w:t>
            </w:r>
          </w:p>
        </w:tc>
        <w:tc>
          <w:tcPr/>
          <w:p>
            <w:pPr>
              <w:pStyle w:val="Compact"/>
              <w:jc w:val="left"/>
            </w:pPr>
            <w:r>
              <w:t xml:space="preserve">6-18 months</w:t>
            </w:r>
          </w:p>
        </w:tc>
      </w:tr>
      <w:tr>
        <w:tc>
          <w:tcPr/>
          <w:p>
            <w:pPr>
              <w:pStyle w:val="Compact"/>
              <w:jc w:val="left"/>
            </w:pPr>
            <w:r>
              <w:rPr>
                <w:b/>
                <w:bCs/>
              </w:rPr>
              <w:t xml:space="preserve">3</w:t>
            </w:r>
          </w:p>
        </w:tc>
        <w:tc>
          <w:tcPr/>
          <w:p>
            <w:pPr>
              <w:pStyle w:val="Compact"/>
              <w:jc w:val="left"/>
            </w:pPr>
            <w:r>
              <w:t xml:space="preserve">Advanced AI features and autonomous operations adoption</w:t>
            </w:r>
          </w:p>
        </w:tc>
        <w:tc>
          <w:tcPr/>
          <w:p>
            <w:pPr>
              <w:pStyle w:val="Compact"/>
              <w:jc w:val="left"/>
            </w:pPr>
            <w:r>
              <w:t xml:space="preserve">18-36 months</w:t>
            </w:r>
          </w:p>
        </w:tc>
      </w:tr>
    </w:tbl>
    <w:bookmarkEnd w:id="93"/>
    <w:bookmarkEnd w:id="94"/>
    <w:bookmarkEnd w:id="95"/>
    <w:sectPr w:rsidR="001C7A67" w:rsidSect="005F6CBF">
      <w:headerReference r:id="rId9" w:type="even"/>
      <w:headerReference r:id="rId11" w:type="default"/>
      <w:footerReference r:id="rId14" w:type="even"/>
      <w:footerReference r:id="rId13" w:type="default"/>
      <w:headerReference r:id="rId10" w:type="first"/>
      <w:footerReference r:id="rId12" w:type="first"/>
      <w:footnotePr>
        <w:numRestart w:val="eachSect"/>
      </w:footnotePr>
      <w:pgSz w:h="15840" w:w="12240"/>
      <w:pgMar w:bottom="1440" w:footer="1020" w:gutter="0" w:header="720" w:left="1800" w:right="1800" w:top="1440"/>
      <w:cols w:space="720"/>
      <w:docGrid w:linePitch="32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正文 CS 字体)">
    <w:altName w:val="宋体"/>
    <w:panose1 w:val="020B0604020202020204"/>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标题 CS)">
    <w:altName w:val="宋体"/>
    <w:panose1 w:val="020B0604020202020204"/>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 w:name="Consolas">
    <w:altName w:val="苹方-简"/>
    <w:panose1 w:val="020B0609020204030204"/>
    <w:charset w:val="00"/>
    <w:family w:val="modern"/>
    <w:pitch w:val="fixed"/>
    <w:sig w:usb0="E10002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54F1" w:rsidRDefault="003054F1">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F6CBF" w:rsidRPr="005F6CBF" w:rsidRDefault="003054F1" w:rsidP="003054F1">
    <w:pPr>
      <w:pStyle w:val="af4"/>
      <w:wordWrap w:val="0"/>
      <w:jc w:val="right"/>
      <w:rPr>
        <w:sz w:val="24"/>
        <w:szCs w:val="24"/>
        <w:lang w:eastAsia="zh-CN"/>
      </w:rPr>
    </w:pPr>
    <w:r>
      <w:rPr>
        <w:sz w:val="24"/>
        <w:szCs w:val="24"/>
      </w:rPr>
      <w:t xml:space="preserve">Generated by </w:t>
    </w:r>
    <w:r>
      <w:rPr>
        <w:sz w:val="24"/>
        <w:szCs w:val="24"/>
      </w:rPr>
      <w:t>Kimi.ai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54F1" w:rsidRDefault="003054F1">
    <w:pPr>
      <w:pStyle w:val="af4"/>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54F1" w:rsidRDefault="003054F1">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54F1" w:rsidRDefault="003054F1">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54F1" w:rsidRDefault="003054F1">
    <w:pPr>
      <w:pStyle w:val="af2"/>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FFFFFF7F"/>
    <w:multiLevelType w:val="singleLevel"/>
    <w:tmpl w:val="E34447C8"/>
    <w:lvl w:ilvl="0">
      <w:start w:val="1"/>
      <w:numFmt w:val="decimal"/>
      <w:lvlText w:val="%1."/>
      <w:lvlJc w:val="left"/>
      <w:pPr>
        <w:tabs>
          <w:tab w:pos="780" w:val="num"/>
        </w:tabs>
        <w:ind w:hanging="360" w:hangingChars="200" w:left="780" w:leftChars="200"/>
      </w:pPr>
    </w:lvl>
  </w:abstractNum>
  <w:abstractNum w15:restartNumberingAfterBreak="0" w:abstractNumId="1">
    <w:nsid w:val="FFFFFF88"/>
    <w:multiLevelType w:val="singleLevel"/>
    <w:tmpl w:val="FBEE7FC8"/>
    <w:lvl w:ilvl="0">
      <w:start w:val="1"/>
      <w:numFmt w:val="decimal"/>
      <w:lvlText w:val="%1."/>
      <w:lvlJc w:val="left"/>
      <w:pPr>
        <w:tabs>
          <w:tab w:pos="360" w:val="num"/>
        </w:tabs>
        <w:ind w:hanging="360" w:hangingChars="200" w:left="360"/>
      </w:pPr>
    </w:lvl>
  </w:abstractNum>
  <w:abstractNum w15:restartNumberingAfterBreak="0" w:abstractNumId="2">
    <w:nsid w:val="170CD2DE"/>
    <w:multiLevelType w:val="multilevel"/>
    <w:tmpl w:val="76E495AA"/>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bullet"/>
      <w:lvlText w:val=" "/>
      <w:lvlJc w:val="left"/>
      <w:pPr>
        <w:tabs>
          <w:tab w:pos="5040" w:val="num"/>
        </w:tabs>
        <w:ind w:hanging="480" w:left="5520"/>
      </w:pPr>
    </w:lvl>
    <w:lvl w:ilvl="8">
      <w:numFmt w:val="bullet"/>
      <w:lvlText w:val=" "/>
      <w:lvlJc w:val="left"/>
      <w:pPr>
        <w:tabs>
          <w:tab w:pos="5760" w:val="num"/>
        </w:tabs>
        <w:ind w:hanging="480" w:left="6240"/>
      </w:p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16cid:durableId="518012929" w:numId="1">
    <w:abstractNumId w:val="2"/>
  </w:num>
  <w:num w16cid:durableId="1115832812" w:numId="2">
    <w:abstractNumId w:val="0"/>
  </w:num>
  <w:num w16cid:durableId="1385718346" w:numId="3">
    <w:abstractNumId w:val="0"/>
  </w:num>
  <w:num w16cid:durableId="534512707" w:numId="4">
    <w:abstractNumId w:val="0"/>
  </w:num>
  <w:num w16cid:durableId="1318798893" w:numId="5">
    <w:abstractNumId w:val="0"/>
  </w:num>
  <w:num w16cid:durableId="1801877254" w:numId="6">
    <w:abstractNumId w:val="0"/>
  </w:num>
  <w:num w16cid:durableId="295257330" w:numId="7">
    <w:abstractNumId w:val="1"/>
  </w:num>
  <w:num w16cid:durableId="2013414762" w:numId="8">
    <w:abstractNumId w:val="1"/>
  </w:num>
  <w:num w16cid:durableId="815605401" w:numId="9">
    <w:abstractNumId w:val="1"/>
  </w:num>
  <w:num w16cid:durableId="575365733" w:numId="10">
    <w:abstractNumId w:val="1"/>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doNotTrackMoves/>
  <w:defaultTabStop w:val="720"/>
  <w:drawingGridHorizontalSpacing w:val="360"/>
  <w:drawingGridVerticalSpacing w:val="360"/>
  <w:displayHorizontalDrawingGridEvery w:val="0"/>
  <w:displayVerticalDrawingGridEvery w:val="0"/>
  <w:characterSpacingControl w:val="doNotCompress"/>
  <w:savePreviewPicture/>
  <w:footnotePr>
    <w:numRestart w:val="eachSect"/>
    <w:footnote w:id="-1"/>
    <w:footnote w:id="0"/>
  </w:footnotePr>
  <w:compat>
    <w:useFELayout/>
    <w:compatSetting w:name="compatibilityMode" w:uri="http://schemas.microsoft.com/office/word" w:val="12"/>
    <w:compatSetting w:name="useWord2013TrackBottomHyphenation" w:uri="http://schemas.microsoft.com/office/word" w:val="1"/>
  </w:compat>
  <w:rsids>
    <w:rsidRoot w:val="001C7A67"/>
    <w:rsid w:val="00196211"/>
    <w:rsid w:val="001C7A67"/>
    <w:rsid w:val="003054F1"/>
    <w:rsid w:val="004825C6"/>
    <w:rsid w:val="0051628A"/>
    <w:rsid w:val="005464E3"/>
    <w:rsid w:val="005F6CBF"/>
    <w:rsid w:val="00643110"/>
    <w:rsid w:val="00746C97"/>
    <w:rsid w:val="008708D9"/>
    <w:rsid w:val="00977478"/>
    <w:rsid w:val="00AF517C"/>
    <w:rsid w:val="00BF08D0"/>
    <w:rsid w:val="00CF7597"/>
    <w:rsid w:val="00D90F1F"/>
    <w:rsid w:val="00EC61BB"/>
    <w:rsid w:val="00FA401C"/>
    <w:rsid w:val="00FD76EA"/>
    <w:rsid w:val="00FE619A"/>
  </w:rsids>
  <w:themeFontLang w:eastAsia="zh-CN"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4"/>
        <w:szCs w:val="24"/>
        <w:lang w:bidi="ar-SA" w:eastAsia="en-US" w:val="en-US"/>
      </w:rPr>
    </w:rPrDefault>
    <w:pPrDefault>
      <w:pPr>
        <w:spacing w:after="200"/>
      </w:pPr>
    </w:pPrDefault>
  </w:docDefaults>
  <w:latentStyles w:count="376" w:defLockedState="0" w:defQFormat="0" w:defSemiHidden="0" w:defUIPriority="0" w:defUnhideWhenUsed="0">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rsid w:val="00977478"/>
    <w:pPr>
      <w:spacing w:after="0" w:line="360" w:lineRule="auto"/>
    </w:pPr>
    <w:rPr>
      <w:rFonts w:ascii="Arial" w:cs="Times New Roman (正文 CS 字体)" w:eastAsia="宋体" w:hAnsi="Arial"/>
    </w:rPr>
  </w:style>
  <w:style w:styleId="1" w:type="paragraph">
    <w:name w:val="heading 1"/>
    <w:basedOn w:val="a"/>
    <w:next w:val="a0"/>
    <w:link w:val="10"/>
    <w:uiPriority w:val="9"/>
    <w:qFormat/>
    <w:rsid w:val="008708D9"/>
    <w:pPr>
      <w:keepNext/>
      <w:keepLines/>
      <w:outlineLvl w:val="0"/>
    </w:pPr>
    <w:rPr>
      <w:rFonts w:cs="Times New Roman (标题 CS)" w:eastAsia="黑体"/>
      <w:sz w:val="30"/>
      <w:szCs w:val="40"/>
    </w:rPr>
  </w:style>
  <w:style w:styleId="2" w:type="paragraph">
    <w:name w:val="heading 2"/>
    <w:basedOn w:val="a"/>
    <w:next w:val="a0"/>
    <w:link w:val="20"/>
    <w:uiPriority w:val="9"/>
    <w:semiHidden/>
    <w:unhideWhenUsed/>
    <w:qFormat/>
    <w:rsid w:val="008708D9"/>
    <w:pPr>
      <w:keepNext/>
      <w:keepLines/>
      <w:outlineLvl w:val="1"/>
    </w:pPr>
    <w:rPr>
      <w:rFonts w:cs="Times New Roman (标题 CS)" w:eastAsia="黑体"/>
      <w:sz w:val="28"/>
      <w:szCs w:val="32"/>
    </w:rPr>
  </w:style>
  <w:style w:styleId="3" w:type="paragraph">
    <w:name w:val="heading 3"/>
    <w:basedOn w:val="a"/>
    <w:next w:val="a0"/>
    <w:link w:val="30"/>
    <w:uiPriority w:val="9"/>
    <w:semiHidden/>
    <w:unhideWhenUsed/>
    <w:qFormat/>
    <w:rsid w:val="008708D9"/>
    <w:pPr>
      <w:keepNext/>
      <w:keepLines/>
      <w:outlineLvl w:val="2"/>
    </w:pPr>
    <w:rPr>
      <w:rFonts w:cs="Times New Roman (标题 CS)" w:eastAsia="黑体"/>
      <w:sz w:val="26"/>
      <w:szCs w:val="28"/>
    </w:rPr>
  </w:style>
  <w:style w:styleId="4" w:type="paragraph">
    <w:name w:val="heading 4"/>
    <w:basedOn w:val="3"/>
    <w:next w:val="a0"/>
    <w:link w:val="40"/>
    <w:uiPriority w:val="9"/>
    <w:unhideWhenUsed/>
    <w:qFormat/>
    <w:rsid w:val="00EC61BB"/>
    <w:pPr>
      <w:outlineLvl w:val="3"/>
    </w:pPr>
  </w:style>
  <w:style w:styleId="5" w:type="paragraph">
    <w:name w:val="heading 5"/>
    <w:basedOn w:val="4"/>
    <w:next w:val="a0"/>
    <w:link w:val="50"/>
    <w:uiPriority w:val="9"/>
    <w:unhideWhenUsed/>
    <w:qFormat/>
    <w:rsid w:val="00EC61BB"/>
    <w:pPr>
      <w:outlineLvl w:val="4"/>
    </w:pPr>
  </w:style>
  <w:style w:styleId="6" w:type="paragraph">
    <w:name w:val="heading 6"/>
    <w:basedOn w:val="5"/>
    <w:next w:val="a0"/>
    <w:link w:val="60"/>
    <w:uiPriority w:val="9"/>
    <w:unhideWhenUsed/>
    <w:qFormat/>
    <w:rsid w:val="00EC61BB"/>
    <w:pPr>
      <w:outlineLvl w:val="5"/>
    </w:pPr>
  </w:style>
  <w:style w:styleId="7" w:type="paragraph">
    <w:name w:val="heading 7"/>
    <w:basedOn w:val="6"/>
    <w:next w:val="a0"/>
    <w:link w:val="70"/>
    <w:uiPriority w:val="9"/>
    <w:unhideWhenUsed/>
    <w:qFormat/>
    <w:rsid w:val="00EC61BB"/>
    <w:pPr>
      <w:outlineLvl w:val="6"/>
    </w:pPr>
  </w:style>
  <w:style w:styleId="8" w:type="paragraph">
    <w:name w:val="heading 8"/>
    <w:basedOn w:val="7"/>
    <w:next w:val="a0"/>
    <w:link w:val="80"/>
    <w:uiPriority w:val="9"/>
    <w:unhideWhenUsed/>
    <w:qFormat/>
    <w:rsid w:val="00EC61BB"/>
    <w:pPr>
      <w:outlineLvl w:val="7"/>
    </w:pPr>
  </w:style>
  <w:style w:styleId="9" w:type="paragraph">
    <w:name w:val="heading 9"/>
    <w:basedOn w:val="8"/>
    <w:next w:val="a0"/>
    <w:link w:val="90"/>
    <w:uiPriority w:val="9"/>
    <w:unhideWhenUsed/>
    <w:qFormat/>
    <w:rsid w:val="00EC61BB"/>
    <w:pPr>
      <w:outlineLvl w:val="8"/>
    </w:p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Body Text"/>
    <w:basedOn w:val="a"/>
    <w:qFormat/>
    <w:rsid w:val="00CF7597"/>
  </w:style>
  <w:style w:customStyle="1" w:styleId="FirstParagraph" w:type="paragraph">
    <w:name w:val="First Paragraph"/>
    <w:basedOn w:val="a0"/>
    <w:next w:val="a0"/>
    <w:qFormat/>
  </w:style>
  <w:style w:customStyle="1" w:styleId="Compact" w:type="paragraph">
    <w:name w:val="Compact"/>
    <w:basedOn w:val="a0"/>
    <w:qFormat/>
    <w:pPr>
      <w:spacing w:after="36" w:before="36"/>
    </w:pPr>
  </w:style>
  <w:style w:styleId="a4" w:type="paragraph">
    <w:name w:val="Title"/>
    <w:basedOn w:val="a"/>
    <w:next w:val="a0"/>
    <w:link w:val="a5"/>
    <w:uiPriority w:val="10"/>
    <w:qFormat/>
    <w:rsid w:val="00AF517C"/>
    <w:pPr>
      <w:contextualSpacing/>
      <w:jc w:val="center"/>
    </w:pPr>
    <w:rPr>
      <w:rFonts w:cs="Times New Roman (标题 CS)" w:eastAsia="黑体"/>
      <w:sz w:val="30"/>
      <w:szCs w:val="56"/>
    </w:rPr>
  </w:style>
  <w:style w:customStyle="1" w:styleId="a5" w:type="character">
    <w:name w:val="标题 字符"/>
    <w:basedOn w:val="a1"/>
    <w:link w:val="a4"/>
    <w:uiPriority w:val="10"/>
    <w:rsid w:val="00AF517C"/>
    <w:rPr>
      <w:rFonts w:ascii="Arial" w:cs="Times New Roman (标题 CS)" w:eastAsia="黑体" w:hAnsi="Arial"/>
      <w:sz w:val="30"/>
      <w:szCs w:val="56"/>
    </w:rPr>
  </w:style>
  <w:style w:styleId="a6" w:type="paragraph">
    <w:name w:val="Subtitle"/>
    <w:basedOn w:val="a4"/>
    <w:next w:val="a0"/>
    <w:link w:val="a7"/>
    <w:uiPriority w:val="11"/>
    <w:qFormat/>
    <w:rsid w:val="00A10FD9"/>
    <w:pPr>
      <w:numPr>
        <w:ilvl w:val="1"/>
      </w:numPr>
    </w:pPr>
    <w:rPr>
      <w:rFonts w:cstheme="majorBidi" w:eastAsiaTheme="majorEastAsia"/>
      <w:spacing w:val="15"/>
      <w:sz w:val="28"/>
      <w:szCs w:val="28"/>
    </w:rPr>
  </w:style>
  <w:style w:customStyle="1" w:styleId="a7" w:type="character">
    <w:name w:val="副标题 字符"/>
    <w:basedOn w:val="a1"/>
    <w:link w:val="a6"/>
    <w:uiPriority w:val="11"/>
    <w:rsid w:val="00A10FD9"/>
    <w:rPr>
      <w:rFonts w:cstheme="majorBidi" w:eastAsiaTheme="majorEastAsia"/>
      <w:color w:themeColor="text1" w:themeTint="A6" w:val="595959"/>
      <w:spacing w:val="15"/>
      <w:sz w:val="28"/>
      <w:szCs w:val="28"/>
    </w:rPr>
  </w:style>
  <w:style w:customStyle="1" w:styleId="Author" w:type="paragraph">
    <w:name w:val="Author"/>
    <w:basedOn w:val="a4"/>
    <w:next w:val="a0"/>
    <w:qFormat/>
    <w:pPr>
      <w:keepNext/>
      <w:keepLines/>
    </w:pPr>
    <w:rPr>
      <w:sz w:val="24"/>
      <w:szCs w:val="24"/>
    </w:rPr>
  </w:style>
  <w:style w:styleId="a8" w:type="paragraph">
    <w:name w:val="Date"/>
    <w:basedOn w:val="a4"/>
    <w:next w:val="a0"/>
    <w:qFormat/>
    <w:pPr>
      <w:keepNext/>
      <w:keepLines/>
    </w:pPr>
    <w:rPr>
      <w:sz w:val="24"/>
      <w:szCs w:val="24"/>
    </w:rPr>
  </w:style>
  <w:style w:customStyle="1" w:styleId="AbstractTitle" w:type="paragraph">
    <w:name w:val="Abstract Title"/>
    <w:basedOn w:val="a"/>
    <w:next w:val="Abstract"/>
    <w:qFormat/>
    <w:pPr>
      <w:keepNext/>
      <w:keepLines/>
      <w:spacing w:before="300"/>
      <w:jc w:val="center"/>
    </w:pPr>
    <w:rPr>
      <w:b/>
      <w:sz w:val="20"/>
      <w:szCs w:val="20"/>
    </w:rPr>
  </w:style>
  <w:style w:customStyle="1" w:styleId="Abstract" w:type="paragraph">
    <w:name w:val="Abstract"/>
    <w:basedOn w:val="a"/>
    <w:next w:val="a0"/>
    <w:qFormat/>
    <w:pPr>
      <w:keepNext/>
      <w:keepLines/>
      <w:spacing w:after="300" w:before="100"/>
    </w:pPr>
    <w:rPr>
      <w:sz w:val="20"/>
      <w:szCs w:val="20"/>
    </w:rPr>
  </w:style>
  <w:style w:styleId="a9" w:type="paragraph">
    <w:name w:val="Bibliography"/>
    <w:basedOn w:val="a"/>
    <w:qFormat/>
  </w:style>
  <w:style w:customStyle="1" w:styleId="10" w:type="character">
    <w:name w:val="标题 1 字符"/>
    <w:basedOn w:val="a1"/>
    <w:link w:val="1"/>
    <w:uiPriority w:val="9"/>
    <w:rsid w:val="008708D9"/>
    <w:rPr>
      <w:rFonts w:ascii="Arial" w:cs="Times New Roman (标题 CS)" w:eastAsia="黑体" w:hAnsi="Arial"/>
      <w:sz w:val="30"/>
      <w:szCs w:val="40"/>
    </w:rPr>
  </w:style>
  <w:style w:customStyle="1" w:styleId="20" w:type="character">
    <w:name w:val="标题 2 字符"/>
    <w:basedOn w:val="a1"/>
    <w:link w:val="2"/>
    <w:uiPriority w:val="9"/>
    <w:semiHidden/>
    <w:rsid w:val="008708D9"/>
    <w:rPr>
      <w:rFonts w:ascii="Arial" w:cs="Times New Roman (标题 CS)" w:eastAsia="黑体" w:hAnsi="Arial"/>
      <w:sz w:val="28"/>
      <w:szCs w:val="32"/>
    </w:rPr>
  </w:style>
  <w:style w:customStyle="1" w:styleId="30" w:type="character">
    <w:name w:val="标题 3 字符"/>
    <w:basedOn w:val="a1"/>
    <w:link w:val="3"/>
    <w:uiPriority w:val="9"/>
    <w:semiHidden/>
    <w:rsid w:val="008708D9"/>
    <w:rPr>
      <w:rFonts w:ascii="Arial" w:cs="Times New Roman (标题 CS)" w:eastAsia="黑体" w:hAnsi="Arial"/>
      <w:sz w:val="26"/>
      <w:szCs w:val="28"/>
    </w:rPr>
  </w:style>
  <w:style w:customStyle="1" w:styleId="40" w:type="character">
    <w:name w:val="标题 4 字符"/>
    <w:basedOn w:val="a1"/>
    <w:link w:val="4"/>
    <w:uiPriority w:val="9"/>
    <w:rsid w:val="00EC61BB"/>
    <w:rPr>
      <w:rFonts w:ascii="Arial" w:cs="Times New Roman (标题 CS)" w:eastAsia="黑体" w:hAnsi="Arial"/>
      <w:color w:themeColor="accent1" w:themeShade="BF" w:val="0F4761"/>
      <w:sz w:val="26"/>
      <w:szCs w:val="28"/>
    </w:rPr>
  </w:style>
  <w:style w:customStyle="1" w:styleId="50" w:type="character">
    <w:name w:val="标题 5 字符"/>
    <w:basedOn w:val="a1"/>
    <w:link w:val="5"/>
    <w:uiPriority w:val="9"/>
    <w:rsid w:val="00EC61BB"/>
    <w:rPr>
      <w:rFonts w:ascii="Arial" w:cs="Times New Roman (标题 CS)" w:eastAsia="黑体" w:hAnsi="Arial"/>
      <w:color w:themeColor="accent1" w:themeShade="BF" w:val="0F4761"/>
      <w:sz w:val="26"/>
      <w:szCs w:val="28"/>
    </w:rPr>
  </w:style>
  <w:style w:customStyle="1" w:styleId="60" w:type="character">
    <w:name w:val="标题 6 字符"/>
    <w:basedOn w:val="a1"/>
    <w:link w:val="6"/>
    <w:uiPriority w:val="9"/>
    <w:rsid w:val="00EC61BB"/>
    <w:rPr>
      <w:rFonts w:ascii="Arial" w:cs="Times New Roman (标题 CS)" w:eastAsia="黑体" w:hAnsi="Arial"/>
      <w:color w:themeColor="accent1" w:themeShade="BF" w:val="0F4761"/>
      <w:sz w:val="26"/>
      <w:szCs w:val="28"/>
    </w:rPr>
  </w:style>
  <w:style w:customStyle="1" w:styleId="70" w:type="character">
    <w:name w:val="标题 7 字符"/>
    <w:basedOn w:val="a1"/>
    <w:link w:val="7"/>
    <w:uiPriority w:val="9"/>
    <w:rsid w:val="00EC61BB"/>
    <w:rPr>
      <w:rFonts w:ascii="Arial" w:cs="Times New Roman (标题 CS)" w:eastAsia="黑体" w:hAnsi="Arial"/>
      <w:color w:themeColor="accent1" w:themeShade="BF" w:val="0F4761"/>
      <w:sz w:val="26"/>
      <w:szCs w:val="28"/>
    </w:rPr>
  </w:style>
  <w:style w:customStyle="1" w:styleId="80" w:type="character">
    <w:name w:val="标题 8 字符"/>
    <w:basedOn w:val="a1"/>
    <w:link w:val="8"/>
    <w:uiPriority w:val="9"/>
    <w:rsid w:val="00EC61BB"/>
    <w:rPr>
      <w:rFonts w:ascii="Arial" w:cs="Times New Roman (标题 CS)" w:eastAsia="黑体" w:hAnsi="Arial"/>
      <w:color w:themeColor="accent1" w:themeShade="BF" w:val="0F4761"/>
      <w:sz w:val="26"/>
      <w:szCs w:val="28"/>
    </w:rPr>
  </w:style>
  <w:style w:customStyle="1" w:styleId="90" w:type="character">
    <w:name w:val="标题 9 字符"/>
    <w:basedOn w:val="a1"/>
    <w:link w:val="9"/>
    <w:uiPriority w:val="9"/>
    <w:rsid w:val="00EC61BB"/>
    <w:rPr>
      <w:rFonts w:ascii="Arial" w:cs="Times New Roman (标题 CS)" w:eastAsia="黑体" w:hAnsi="Arial"/>
      <w:color w:themeColor="accent1" w:themeShade="BF" w:val="0F4761"/>
      <w:sz w:val="26"/>
      <w:szCs w:val="28"/>
    </w:rPr>
  </w:style>
  <w:style w:styleId="aa" w:type="paragraph">
    <w:name w:val="Block Text"/>
    <w:basedOn w:val="a0"/>
    <w:next w:val="a0"/>
    <w:uiPriority w:val="9"/>
    <w:unhideWhenUsed/>
    <w:qFormat/>
    <w:pPr>
      <w:spacing w:after="100" w:before="100"/>
      <w:ind w:left="480" w:right="480"/>
    </w:pPr>
  </w:style>
  <w:style w:styleId="ab" w:type="paragraph">
    <w:name w:val="footnote text"/>
    <w:basedOn w:val="a"/>
    <w:uiPriority w:val="9"/>
    <w:unhideWhenUsed/>
    <w:qFormat/>
    <w:rsid w:val="00746C97"/>
    <w:rPr>
      <w:sz w:val="18"/>
    </w:rPr>
  </w:style>
  <w:style w:customStyle="1" w:styleId="FootnoteBlockText" w:type="paragraph">
    <w:name w:val="Footnote Block Text"/>
    <w:basedOn w:val="ab"/>
    <w:next w:val="ab"/>
    <w:uiPriority w:val="9"/>
    <w:unhideWhenUsed/>
    <w:qFormat/>
    <w:pPr>
      <w:spacing w:after="100" w:before="100"/>
      <w:ind w:left="480" w:right="480"/>
    </w:pPr>
  </w:style>
  <w:style w:customStyle="1" w:styleId="Table" w:type="table">
    <w:name w:val="Table"/>
    <w:semiHidden/>
    <w:unhideWhenUsed/>
    <w:qFormat/>
    <w:tblPr>
      <w:tblInd w:type="dxa" w:w="0"/>
      <w:tblCellMar>
        <w:top w:type="dxa" w:w="0"/>
        <w:left w:type="dxa" w:w="108"/>
        <w:bottom w:type="dxa" w:w="0"/>
        <w:right w:type="dxa" w:w="108"/>
      </w:tblCellMar>
    </w:tblPr>
    <w:tblStylePr w:type="firstRow">
      <w:tblPr>
        <w:jc w:val="left"/>
      </w:tblPr>
      <w:trPr>
        <w:jc w:val="left"/>
      </w:trPr>
      <w:tcPr>
        <w:tcBorders>
          <w:bottom w:color="auto" w:space="0" w:sz="0" w:val="single"/>
        </w:tcBorders>
        <w:vAlign w:val="bottom"/>
      </w:tcPr>
    </w:tblStylePr>
  </w:style>
  <w:style w:customStyle="1" w:styleId="DefinitionTerm" w:type="paragraph">
    <w:name w:val="Definition Term"/>
    <w:basedOn w:val="a"/>
    <w:next w:val="Definition"/>
    <w:pPr>
      <w:keepNext/>
      <w:keepLines/>
    </w:pPr>
    <w:rPr>
      <w:b/>
    </w:rPr>
  </w:style>
  <w:style w:customStyle="1" w:styleId="Definition" w:type="paragraph">
    <w:name w:val="Definition"/>
    <w:basedOn w:val="a"/>
  </w:style>
  <w:style w:styleId="ac" w:type="paragraph">
    <w:name w:val="caption"/>
    <w:basedOn w:val="a"/>
    <w:link w:val="ad"/>
    <w:pPr>
      <w:spacing w:after="120"/>
    </w:pPr>
    <w:rPr>
      <w:i/>
    </w:rPr>
  </w:style>
  <w:style w:customStyle="1" w:styleId="TableCaption" w:type="paragraph">
    <w:name w:val="Table Caption"/>
    <w:basedOn w:val="ac"/>
    <w:rsid w:val="00746C97"/>
    <w:pPr>
      <w:keepNext/>
      <w:spacing w:after="0"/>
      <w:jc w:val="center"/>
    </w:pPr>
    <w:rPr>
      <w:i w:val="0"/>
      <w:sz w:val="20"/>
    </w:rPr>
  </w:style>
  <w:style w:customStyle="1" w:styleId="ImageCaption" w:type="paragraph">
    <w:name w:val="Image Caption"/>
    <w:basedOn w:val="ac"/>
    <w:rsid w:val="00BF08D0"/>
    <w:pPr>
      <w:spacing w:after="0"/>
      <w:jc w:val="center"/>
    </w:pPr>
    <w:rPr>
      <w:i w:val="0"/>
      <w:sz w:val="20"/>
    </w:rPr>
  </w:style>
  <w:style w:customStyle="1" w:styleId="Figure" w:type="paragraph">
    <w:name w:val="Figure"/>
    <w:basedOn w:val="a"/>
  </w:style>
  <w:style w:customStyle="1" w:styleId="CaptionedFigure" w:type="paragraph">
    <w:name w:val="Captioned Figure"/>
    <w:basedOn w:val="Figure"/>
    <w:pPr>
      <w:keepNext/>
    </w:pPr>
  </w:style>
  <w:style w:customStyle="1" w:styleId="ad" w:type="character">
    <w:name w:val="题注 字符"/>
    <w:basedOn w:val="a1"/>
    <w:link w:val="ac"/>
  </w:style>
  <w:style w:customStyle="1" w:styleId="VerbatimChar" w:type="character">
    <w:name w:val="Verbatim Char"/>
    <w:basedOn w:val="ad"/>
    <w:rPr>
      <w:rFonts w:ascii="Consolas" w:hAnsi="Consolas"/>
      <w:sz w:val="22"/>
    </w:rPr>
  </w:style>
  <w:style w:customStyle="1" w:styleId="SectionNumber" w:type="character">
    <w:name w:val="Section Number"/>
    <w:basedOn w:val="ad"/>
  </w:style>
  <w:style w:styleId="ae" w:type="character">
    <w:name w:val="footnote reference"/>
    <w:basedOn w:val="ad"/>
    <w:rPr>
      <w:vertAlign w:val="superscript"/>
    </w:rPr>
  </w:style>
  <w:style w:styleId="af" w:type="character">
    <w:name w:val="Hyperlink"/>
    <w:basedOn w:val="ad"/>
    <w:rPr>
      <w:color w:themeColor="accent1" w:val="156082"/>
    </w:rPr>
  </w:style>
  <w:style w:styleId="TOC" w:type="paragraph">
    <w:name w:val="TOC Heading"/>
    <w:basedOn w:val="1"/>
    <w:next w:val="a0"/>
    <w:uiPriority w:val="39"/>
    <w:unhideWhenUsed/>
    <w:qFormat/>
    <w:pPr>
      <w:spacing w:before="240" w:line="259" w:lineRule="auto"/>
      <w:outlineLvl w:val="9"/>
    </w:pPr>
    <w:rPr>
      <w:rFonts w:asciiTheme="majorHAnsi" w:cstheme="majorBidi" w:eastAsiaTheme="majorEastAsia" w:hAnsiTheme="majorHAnsi"/>
    </w:rPr>
  </w:style>
  <w:style w:styleId="af0" w:type="table">
    <w:name w:val="Table Grid"/>
    <w:basedOn w:val="a2"/>
    <w:rsid w:val="00746C97"/>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af1" w:type="paragraph">
    <w:name w:val="List Paragraph"/>
    <w:basedOn w:val="a0"/>
    <w:rsid w:val="0051628A"/>
    <w:pPr>
      <w:ind w:firstLine="420" w:firstLineChars="200"/>
    </w:pPr>
  </w:style>
  <w:style w:styleId="af2" w:type="paragraph">
    <w:name w:val="header"/>
    <w:basedOn w:val="a"/>
    <w:link w:val="af3"/>
    <w:rsid w:val="005F6CBF"/>
    <w:pPr>
      <w:tabs>
        <w:tab w:pos="4153" w:val="center"/>
        <w:tab w:pos="8306" w:val="right"/>
      </w:tabs>
      <w:snapToGrid w:val="0"/>
      <w:spacing w:line="240" w:lineRule="auto"/>
      <w:jc w:val="center"/>
    </w:pPr>
    <w:rPr>
      <w:sz w:val="18"/>
      <w:szCs w:val="18"/>
    </w:rPr>
  </w:style>
  <w:style w:customStyle="1" w:styleId="af3" w:type="character">
    <w:name w:val="页眉 字符"/>
    <w:basedOn w:val="a1"/>
    <w:link w:val="af2"/>
    <w:rsid w:val="005F6CBF"/>
    <w:rPr>
      <w:rFonts w:ascii="Arial" w:cs="Times New Roman (正文 CS 字体)" w:eastAsia="宋体" w:hAnsi="Arial"/>
      <w:sz w:val="18"/>
      <w:szCs w:val="18"/>
    </w:rPr>
  </w:style>
  <w:style w:styleId="af4" w:type="paragraph">
    <w:name w:val="footer"/>
    <w:basedOn w:val="a"/>
    <w:link w:val="af5"/>
    <w:rsid w:val="005F6CBF"/>
    <w:pPr>
      <w:tabs>
        <w:tab w:pos="4153" w:val="center"/>
        <w:tab w:pos="8306" w:val="right"/>
      </w:tabs>
      <w:snapToGrid w:val="0"/>
      <w:spacing w:line="240" w:lineRule="auto"/>
    </w:pPr>
    <w:rPr>
      <w:sz w:val="18"/>
      <w:szCs w:val="18"/>
    </w:rPr>
  </w:style>
  <w:style w:customStyle="1" w:styleId="af5" w:type="character">
    <w:name w:val="页脚 字符"/>
    <w:basedOn w:val="a1"/>
    <w:link w:val="af4"/>
    <w:rsid w:val="005F6CBF"/>
    <w:rPr>
      <w:rFonts w:ascii="Arial" w:cs="Times New Roman (正文 CS 字体)" w:eastAsia="宋体" w:hAnsi="Arial"/>
      <w:sz w:val="18"/>
      <w:szCs w:val="18"/>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header3.xml" Type="http://schemas.openxmlformats.org/officeDocument/2006/relationships/header" /><Relationship Id="rId11" Target="header2.xml" Type="http://schemas.openxmlformats.org/officeDocument/2006/relationships/header" /><Relationship Id="rId12" Target="footer3.xml" Type="http://schemas.openxmlformats.org/officeDocument/2006/relationships/footer" /><Relationship Id="rId13" Target="footer2.xml" Type="http://schemas.openxmlformats.org/officeDocument/2006/relationships/footer" /><Relationship Id="rId14" Target="footer1.xml" Type="http://schemas.openxmlformats.org/officeDocument/2006/relationships/footer" /><Relationship Type="http://schemas.openxmlformats.org/officeDocument/2006/relationships/hyperlink" Id="rId48" Target="about:blank" TargetMode="External" /><Relationship Type="http://schemas.openxmlformats.org/officeDocument/2006/relationships/hyperlink" Id="rId32" Target="https://bbs.huaweicloud.com/blogs/439252" TargetMode="External" /><Relationship Type="http://schemas.openxmlformats.org/officeDocument/2006/relationships/hyperlink" Id="rId51" Target="https://blog.csdn.net/gitblog_01401/article/details/150054113" TargetMode="External" /><Relationship Type="http://schemas.openxmlformats.org/officeDocument/2006/relationships/hyperlink" Id="rId28" Target="https://docs.opengauss.org/en/docs/1.0.1/docs/Developerguide/developer-options.html" TargetMode="External" /><Relationship Type="http://schemas.openxmlformats.org/officeDocument/2006/relationships/hyperlink" Id="rId70" Target="https://docs.opengauss.org/en/docs/3.0.0/docs/CharacteristicDescription/mysql-to-opengauss-migration-tool-chameleon.html" TargetMode="External" /><Relationship Type="http://schemas.openxmlformats.org/officeDocument/2006/relationships/hyperlink" Id="rId77" Target="https://docs.opengauss.org/en/docs/3.1.1/docs/CharacteristicDescription/deploying-a-distributed-database-using-kubernetes.html" TargetMode="External" /><Relationship Type="http://schemas.openxmlformats.org/officeDocument/2006/relationships/hyperlink" Id="rId42" Target="https://docs.opengauss.org/en/docs/3.1.1/docs/CharacteristicDescription/transparent-data-encryption.html" TargetMode="External" /><Relationship Type="http://schemas.openxmlformats.org/officeDocument/2006/relationships/hyperlink" Id="rId43" Target="https://docs.opengauss.org/en/docs/5.1.0/docs/AboutopenGauss/enhanced-features.html" TargetMode="External" /><Relationship Type="http://schemas.openxmlformats.org/officeDocument/2006/relationships/hyperlink" Id="rId24" Target="https://docs.opengauss.org/en/docs/5.1.0/docs/AboutopenGauss/product-features.html" TargetMode="External" /><Relationship Type="http://schemas.openxmlformats.org/officeDocument/2006/relationships/hyperlink" Id="rId38" Target="https://docs.opengauss.org/en/docs/5.1.0/docs/GettingStarted/understanding-opengauss.html" TargetMode="External" /><Relationship Type="http://schemas.openxmlformats.org/officeDocument/2006/relationships/hyperlink" Id="rId53" Target="https://docs.opengauss.org/en/docs/5.1.0/docs/ReleaseNotes/features.html" TargetMode="External" /><Relationship Type="http://schemas.openxmlformats.org/officeDocument/2006/relationships/hyperlink" Id="rId45" Target="https://docs.opengauss.org/en/docs/6.0.0/docs/AboutopenGauss/access-control-model.html" TargetMode="External" /><Relationship Type="http://schemas.openxmlformats.org/officeDocument/2006/relationships/hyperlink" Id="rId31" Target="https://docs.opengauss.org/en/docs/6.0.0/docs/DatabaseAdministrationGuide/mot-usage-scenarios.html" TargetMode="External" /><Relationship Type="http://schemas.openxmlformats.org/officeDocument/2006/relationships/hyperlink" Id="rId20" Target="https://docs.opengauss.org/en/docs/latest/about_opengauss/about_opengauss.html" TargetMode="External" /><Relationship Type="http://schemas.openxmlformats.org/officeDocument/2006/relationships/hyperlink" Id="rId75" Target="https://docs.opengauss.org/en/docs/latest/about_opengauss/deployment_solutions.html" TargetMode="External" /><Relationship Type="http://schemas.openxmlformats.org/officeDocument/2006/relationships/hyperlink" Id="rId46" Target="https://docs.opengauss.org/en/docs/latest/characteristic_description/separation_of_control_and_access_permissions.html" TargetMode="External" /><Relationship Type="http://schemas.openxmlformats.org/officeDocument/2006/relationships/hyperlink" Id="rId34" Target="https://jcst.ict.ac.cn/cn/article/id/060bebb8-3fd2-45e1-b38a-47505cd3ce3b" TargetMode="External" /><Relationship Type="http://schemas.openxmlformats.org/officeDocument/2006/relationships/hyperlink" Id="rId58" Target="https://media16.connectedsocialmedia.com/MongoDB/15003/MongoDB_TCO_Comparison_MongoDB_Oracle.pdf" TargetMode="External" /><Relationship Type="http://schemas.openxmlformats.org/officeDocument/2006/relationships/hyperlink" Id="rId72" Target="https://opengauss.org/en/blogs/2022/Using-Ora2Pg-to-Migrate-Data-from-Oracle-to-openGauss.html" TargetMode="External" /><Relationship Type="http://schemas.openxmlformats.org/officeDocument/2006/relationships/hyperlink" Id="rId27" Target="https://res-static.hc-cdn.cn/cloudbu-site/china/zh-cn/%E4%BA%91%E5%AD%A6%E9%99%A2/Materials%20for%20certification/HCIA-openGaussV1.0TrainingMaterial.pdf" TargetMode="External" /><Relationship Type="http://schemas.openxmlformats.org/officeDocument/2006/relationships/hyperlink" Id="rId30" Target="https://sphere-ex.com/case-studies/27/" TargetMode="External" /><Relationship Type="http://schemas.openxmlformats.org/officeDocument/2006/relationships/hyperlink" Id="rId23" Target="https://ubos.tech/news/nous-research-unveils-hermes-agent-multi%E2%80%91level-memory-ai-with-remote-terminal-access/" TargetMode="External" /><Relationship Type="http://schemas.openxmlformats.org/officeDocument/2006/relationships/hyperlink" Id="rId37" Target="https://www.click2cloud.com/blog/cloud-migration-open-gauss-database-and-its-migration-Via-clouds-brain" TargetMode="External" /><Relationship Type="http://schemas.openxmlformats.org/officeDocument/2006/relationships/hyperlink" Id="rId21" Target="https://www.cnblogs.com/ljbguanli/p/19351971" TargetMode="External" /><Relationship Type="http://schemas.openxmlformats.org/officeDocument/2006/relationships/hyperlink" Id="rId61" Target="https://www.modb.pro/db/1686358269555187712" TargetMode="External" /><Relationship Type="http://schemas.openxmlformats.org/officeDocument/2006/relationships/hyperlink" Id="rId65" Target="https://www.smartx.com/blog/tag/hci-database/" TargetMode="External" /></Relationships>
</file>

<file path=word/_rels/footnotes.xml.rels><?xml version="1.0" encoding="UTF-8"?><Relationships xmlns="http://schemas.openxmlformats.org/package/2006/relationships"><Relationship Type="http://schemas.openxmlformats.org/officeDocument/2006/relationships/hyperlink" Id="rId48" Target="about:blank" TargetMode="External" /><Relationship Type="http://schemas.openxmlformats.org/officeDocument/2006/relationships/hyperlink" Id="rId32" Target="https://bbs.huaweicloud.com/blogs/439252" TargetMode="External" /><Relationship Type="http://schemas.openxmlformats.org/officeDocument/2006/relationships/hyperlink" Id="rId51" Target="https://blog.csdn.net/gitblog_01401/article/details/150054113" TargetMode="External" /><Relationship Type="http://schemas.openxmlformats.org/officeDocument/2006/relationships/hyperlink" Id="rId28" Target="https://docs.opengauss.org/en/docs/1.0.1/docs/Developerguide/developer-options.html" TargetMode="External" /><Relationship Type="http://schemas.openxmlformats.org/officeDocument/2006/relationships/hyperlink" Id="rId70" Target="https://docs.opengauss.org/en/docs/3.0.0/docs/CharacteristicDescription/mysql-to-opengauss-migration-tool-chameleon.html" TargetMode="External" /><Relationship Type="http://schemas.openxmlformats.org/officeDocument/2006/relationships/hyperlink" Id="rId77" Target="https://docs.opengauss.org/en/docs/3.1.1/docs/CharacteristicDescription/deploying-a-distributed-database-using-kubernetes.html" TargetMode="External" /><Relationship Type="http://schemas.openxmlformats.org/officeDocument/2006/relationships/hyperlink" Id="rId42" Target="https://docs.opengauss.org/en/docs/3.1.1/docs/CharacteristicDescription/transparent-data-encryption.html" TargetMode="External" /><Relationship Type="http://schemas.openxmlformats.org/officeDocument/2006/relationships/hyperlink" Id="rId43" Target="https://docs.opengauss.org/en/docs/5.1.0/docs/AboutopenGauss/enhanced-features.html" TargetMode="External" /><Relationship Type="http://schemas.openxmlformats.org/officeDocument/2006/relationships/hyperlink" Id="rId24" Target="https://docs.opengauss.org/en/docs/5.1.0/docs/AboutopenGauss/product-features.html" TargetMode="External" /><Relationship Type="http://schemas.openxmlformats.org/officeDocument/2006/relationships/hyperlink" Id="rId38" Target="https://docs.opengauss.org/en/docs/5.1.0/docs/GettingStarted/understanding-opengauss.html" TargetMode="External" /><Relationship Type="http://schemas.openxmlformats.org/officeDocument/2006/relationships/hyperlink" Id="rId53" Target="https://docs.opengauss.org/en/docs/5.1.0/docs/ReleaseNotes/features.html" TargetMode="External" /><Relationship Type="http://schemas.openxmlformats.org/officeDocument/2006/relationships/hyperlink" Id="rId45" Target="https://docs.opengauss.org/en/docs/6.0.0/docs/AboutopenGauss/access-control-model.html" TargetMode="External" /><Relationship Type="http://schemas.openxmlformats.org/officeDocument/2006/relationships/hyperlink" Id="rId31" Target="https://docs.opengauss.org/en/docs/6.0.0/docs/DatabaseAdministrationGuide/mot-usage-scenarios.html" TargetMode="External" /><Relationship Type="http://schemas.openxmlformats.org/officeDocument/2006/relationships/hyperlink" Id="rId20" Target="https://docs.opengauss.org/en/docs/latest/about_opengauss/about_opengauss.html" TargetMode="External" /><Relationship Type="http://schemas.openxmlformats.org/officeDocument/2006/relationships/hyperlink" Id="rId75" Target="https://docs.opengauss.org/en/docs/latest/about_opengauss/deployment_solutions.html" TargetMode="External" /><Relationship Type="http://schemas.openxmlformats.org/officeDocument/2006/relationships/hyperlink" Id="rId46" Target="https://docs.opengauss.org/en/docs/latest/characteristic_description/separation_of_control_and_access_permissions.html" TargetMode="External" /><Relationship Type="http://schemas.openxmlformats.org/officeDocument/2006/relationships/hyperlink" Id="rId34" Target="https://jcst.ict.ac.cn/cn/article/id/060bebb8-3fd2-45e1-b38a-47505cd3ce3b" TargetMode="External" /><Relationship Type="http://schemas.openxmlformats.org/officeDocument/2006/relationships/hyperlink" Id="rId58" Target="https://media16.connectedsocialmedia.com/MongoDB/15003/MongoDB_TCO_Comparison_MongoDB_Oracle.pdf" TargetMode="External" /><Relationship Type="http://schemas.openxmlformats.org/officeDocument/2006/relationships/hyperlink" Id="rId72" Target="https://opengauss.org/en/blogs/2022/Using-Ora2Pg-to-Migrate-Data-from-Oracle-to-openGauss.html" TargetMode="External" /><Relationship Type="http://schemas.openxmlformats.org/officeDocument/2006/relationships/hyperlink" Id="rId27" Target="https://res-static.hc-cdn.cn/cloudbu-site/china/zh-cn/%E4%BA%91%E5%AD%A6%E9%99%A2/Materials%20for%20certification/HCIA-openGaussV1.0TrainingMaterial.pdf" TargetMode="External" /><Relationship Type="http://schemas.openxmlformats.org/officeDocument/2006/relationships/hyperlink" Id="rId30" Target="https://sphere-ex.com/case-studies/27/" TargetMode="External" /><Relationship Type="http://schemas.openxmlformats.org/officeDocument/2006/relationships/hyperlink" Id="rId23" Target="https://ubos.tech/news/nous-research-unveils-hermes-agent-multi%E2%80%91level-memory-ai-with-remote-terminal-access/" TargetMode="External" /><Relationship Type="http://schemas.openxmlformats.org/officeDocument/2006/relationships/hyperlink" Id="rId37" Target="https://www.click2cloud.com/blog/cloud-migration-open-gauss-database-and-its-migration-Via-clouds-brain" TargetMode="External" /><Relationship Type="http://schemas.openxmlformats.org/officeDocument/2006/relationships/hyperlink" Id="rId21" Target="https://www.cnblogs.com/ljbguanli/p/19351971" TargetMode="External" /><Relationship Type="http://schemas.openxmlformats.org/officeDocument/2006/relationships/hyperlink" Id="rId61" Target="https://www.modb.pro/db/1686358269555187712" TargetMode="External" /><Relationship Type="http://schemas.openxmlformats.org/officeDocument/2006/relationships/hyperlink" Id="rId65" Target="https://www.smartx.com/blog/tag/hci-database/"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62</Words>
  <Characters>360</Characters>
  <Application>Microsoft Office Word</Application>
  <DocSecurity>0</DocSecurity>
  <Lines>3</Lines>
  <Paragraphs>1</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2026-03-19T21:18:38Z</dcterms:created>
  <dcterms:modified xsi:type="dcterms:W3CDTF">2026-03-19T21:18:38Z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001191110108MACG2KBH8F10000","ProduceID":"anonymous-19d07c14-e002-87a4-8000-095b73352f8e-20260319211838","ReservedCode1":"","ContentPropagator":"001191110108MACG2KBH8F20000","PropagateID":"anonymous-19d07c14-e002-87a4-8000-095b73352f8e-20260319211838","ReservedCode2":""}</vt:lpwstr>
  </property>
</Properties>
</file>